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Banking Advisory &amp; Consultancy Services</w:t>
      </w:r>
    </w:p>
    <w:p>
      <w:pPr>
        <w:pStyle w:val="BodyText"/>
      </w:pPr>
      <w:r>
        <w:t xml:space="preserve">Prepared for engagement in</w:t>
      </w:r>
      <w:r>
        <w:t xml:space="preserve"> </w:t>
      </w:r>
      <w:r>
        <w:rPr>
          <w:bCs/>
          <w:b/>
        </w:rPr>
        <w:t xml:space="preserve">Spain Barcelona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QTE-SPN-BCN-2025-04782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Meridian Banking Advisory Group, S.L. — C/ Gran Via de les Corts Catalanes 580, 08011 Barcelona, Spain</w:t>
            </w:r>
          </w:p>
        </w:tc>
      </w:tr>
      <w:tr>
        <w:tc>
          <w:tcPr/>
          <w:p>
            <w:pPr>
              <w:pStyle w:val="Compact"/>
              <w:jc w:val="left"/>
            </w:pPr>
            <w:r>
              <w:t xml:space="preserve">Prepared For</w:t>
            </w:r>
          </w:p>
        </w:tc>
        <w:tc>
          <w:tcPr/>
          <w:p>
            <w:pPr>
              <w:pStyle w:val="Compact"/>
              <w:jc w:val="left"/>
            </w:pPr>
            <w:r>
              <w:t xml:space="preserve">Client Name / Corporate Entity (to be confirmed upon acceptance)</w:t>
            </w:r>
          </w:p>
        </w:tc>
      </w:tr>
      <w:tr>
        <w:tc>
          <w:tcPr/>
          <w:p>
            <w:pPr>
              <w:pStyle w:val="Compact"/>
              <w:jc w:val="left"/>
            </w:pPr>
            <w:r>
              <w:t xml:space="preserve">Service Location</w:t>
            </w:r>
          </w:p>
        </w:tc>
        <w:tc>
          <w:tcPr/>
          <w:p>
            <w:pPr>
              <w:pStyle w:val="Compact"/>
              <w:jc w:val="left"/>
            </w:pPr>
            <w:r>
              <w:t xml:space="preserve">Barcelona, Catalonia, Spain (with optional coverage across the broader Spain region)</w:t>
            </w:r>
          </w:p>
        </w:tc>
      </w:tr>
      <w:tr>
        <w:tc>
          <w:tcPr/>
          <w:p>
            <w:pPr>
              <w:pStyle w:val="Compact"/>
              <w:jc w:val="left"/>
            </w:pPr>
            <w:r>
              <w:t xml:space="preserve">Currency</w:t>
            </w:r>
          </w:p>
        </w:tc>
        <w:tc>
          <w:tcPr/>
          <w:p>
            <w:pPr>
              <w:pStyle w:val="Compact"/>
              <w:jc w:val="left"/>
            </w:pPr>
            <w:r>
              <w:t xml:space="preserve">Euro (EUR) — all figures inclusive of applicable Spanish VAT (IVA) at 21%</w:t>
            </w:r>
          </w:p>
        </w:tc>
      </w:tr>
    </w:tbl>
    <w:bookmarkStart w:id="21" w:name="Xc522b72e0a4cac65a3307d5757e2ce0191b0ad4"/>
    <w:p>
      <w:pPr>
        <w:pStyle w:val="Heading2"/>
      </w:pPr>
      <w:r>
        <w:t xml:space="preserve">1. Scope of Engagement — Banker Services in Spain Barcelona</w:t>
      </w:r>
    </w:p>
    <w:p>
      <w:pPr>
        <w:pStyle w:val="FirstParagraph"/>
      </w:pPr>
      <w:r>
        <w:t xml:space="preserve">This</w:t>
      </w:r>
      <w:r>
        <w:t xml:space="preserve"> </w:t>
      </w:r>
      <w:r>
        <w:t xml:space="preserve">Quotation Estimate</w:t>
      </w:r>
      <w:r>
        <w:t xml:space="preserve"> </w:t>
      </w:r>
      <w:r>
        <w:t xml:space="preserve">is issued by Meridian Banking Advisory Group, S.L. to formally outline the professional fees, deliverables, and operational parameters for the engagement of a senior</w:t>
      </w:r>
      <w:r>
        <w:t xml:space="preserve"> </w:t>
      </w:r>
      <w:r>
        <w:t xml:space="preserve">Banker</w:t>
      </w:r>
      <w:r>
        <w:t xml:space="preserve"> </w:t>
      </w:r>
      <w:r>
        <w:t xml:space="preserve">(Principal Banking Consultant) to be deployed and operational within the metropolitan area of</w:t>
      </w:r>
      <w:r>
        <w:t xml:space="preserve"> </w:t>
      </w:r>
      <w:r>
        <w:t xml:space="preserve">Spain Barcelona</w:t>
      </w:r>
      <w:r>
        <w:t xml:space="preserve">. The services described herein are tailored to the regulatory, fiscal, and commercial environment of the Principality of Catalonia and the wider Spanish banking sector, in full compliance with the regulations set forth by the Banco de España, the European Central Bank (ECB), and the Spanish National Securities Market Commission (CNMV).</w:t>
      </w:r>
    </w:p>
    <w:p>
      <w:pPr>
        <w:pStyle w:val="BodyText"/>
      </w:pPr>
      <w:r>
        <w:t xml:space="preserve">The appointed</w:t>
      </w:r>
      <w:r>
        <w:t xml:space="preserve"> </w:t>
      </w:r>
      <w:r>
        <w:t xml:space="preserve">Banker</w:t>
      </w:r>
      <w:r>
        <w:t xml:space="preserve"> </w:t>
      </w:r>
      <w:r>
        <w:t xml:space="preserve">shall provide end-to-end advisory, operational, and strategic banking services to the Client, with primary office-based and on-site activities conducted in Barcelona, Spain. The engagement encompasses corporate banking structuring, treasury management, credit facility negotiation, regulatory compliance oversight, and cross-border payment facilitation within the Eurozone, all anchored to the operational hub in</w:t>
      </w:r>
      <w:r>
        <w:t xml:space="preserve"> </w:t>
      </w:r>
      <w:r>
        <w:t xml:space="preserve">Spain Barcelona</w:t>
      </w:r>
      <w:r>
        <w:t xml:space="preserve">.</w:t>
      </w:r>
    </w:p>
    <w:bookmarkEnd w:id="21"/>
    <w:bookmarkStart w:id="22" w:name="X379cd5a905be38bbdc615fe9a06775ab417bf68"/>
    <w:p>
      <w:pPr>
        <w:pStyle w:val="Heading2"/>
      </w:pPr>
      <w:r>
        <w:t xml:space="preserve">2. Itemised Quotation Estimate — Services &amp;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Unit</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Banker — Principal Banking Consultant (full-time on-site in Barcelona, Spain)</w:t>
            </w:r>
          </w:p>
        </w:tc>
        <w:tc>
          <w:tcPr/>
          <w:p>
            <w:pPr>
              <w:pStyle w:val="Compact"/>
              <w:jc w:val="left"/>
            </w:pPr>
            <w:r>
              <w:t xml:space="preserve">12 months</w:t>
            </w:r>
          </w:p>
        </w:tc>
        <w:tc>
          <w:tcPr/>
          <w:p>
            <w:pPr>
              <w:pStyle w:val="Compact"/>
              <w:jc w:val="left"/>
            </w:pPr>
            <w:r>
              <w:t xml:space="preserve">12,500.00 / month</w:t>
            </w:r>
          </w:p>
        </w:tc>
        <w:tc>
          <w:tcPr/>
          <w:p>
            <w:pPr>
              <w:pStyle w:val="Compact"/>
              <w:jc w:val="left"/>
            </w:pPr>
            <w:r>
              <w:t xml:space="preserve">150,000.00</w:t>
            </w:r>
          </w:p>
        </w:tc>
        <w:tc>
          <w:tcPr/>
          <w:p>
            <w:pPr>
              <w:pStyle w:val="Compact"/>
              <w:jc w:val="left"/>
            </w:pPr>
            <w:r>
              <w:t xml:space="preserve">Incl. travel within Barcelona metro</w:t>
            </w:r>
          </w:p>
        </w:tc>
      </w:tr>
      <w:tr>
        <w:tc>
          <w:tcPr/>
          <w:p>
            <w:pPr>
              <w:pStyle w:val="Compact"/>
              <w:jc w:val="left"/>
            </w:pPr>
            <w:r>
              <w:t xml:space="preserve">02</w:t>
            </w:r>
          </w:p>
        </w:tc>
        <w:tc>
          <w:tcPr/>
          <w:p>
            <w:pPr>
              <w:pStyle w:val="Compact"/>
              <w:jc w:val="left"/>
            </w:pPr>
            <w:r>
              <w:t xml:space="preserve">Corporate Banking Strategy &amp; Credit Facility Structuring (negotiation with Spanish banks)</w:t>
            </w:r>
          </w:p>
        </w:tc>
        <w:tc>
          <w:tcPr/>
          <w:p>
            <w:pPr>
              <w:pStyle w:val="Compact"/>
              <w:jc w:val="left"/>
            </w:pPr>
            <w:r>
              <w:t xml:space="preserve">3 deliverables</w:t>
            </w:r>
          </w:p>
        </w:tc>
        <w:tc>
          <w:tcPr/>
          <w:p>
            <w:pPr>
              <w:pStyle w:val="Compact"/>
              <w:jc w:val="left"/>
            </w:pPr>
            <w:r>
              <w:t xml:space="preserve">8,500.00 / deliverable</w:t>
            </w:r>
          </w:p>
        </w:tc>
        <w:tc>
          <w:tcPr/>
          <w:p>
            <w:pPr>
              <w:pStyle w:val="Compact"/>
              <w:jc w:val="left"/>
            </w:pPr>
            <w:r>
              <w:t xml:space="preserve">25,500.00</w:t>
            </w:r>
          </w:p>
        </w:tc>
        <w:tc>
          <w:tcPr/>
          <w:p>
            <w:pPr>
              <w:pStyle w:val="Compact"/>
              <w:jc w:val="left"/>
            </w:pPr>
            <w:r>
              <w:t xml:space="preserve">Includes due-diligence reports</w:t>
            </w:r>
          </w:p>
        </w:tc>
      </w:tr>
      <w:tr>
        <w:tc>
          <w:tcPr/>
          <w:p>
            <w:pPr>
              <w:pStyle w:val="Compact"/>
              <w:jc w:val="left"/>
            </w:pPr>
            <w:r>
              <w:t xml:space="preserve">03</w:t>
            </w:r>
          </w:p>
        </w:tc>
        <w:tc>
          <w:tcPr/>
          <w:p>
            <w:pPr>
              <w:pStyle w:val="Compact"/>
              <w:jc w:val="left"/>
            </w:pPr>
            <w:r>
              <w:t xml:space="preserve">Treasury Management &amp; Cash-Flow Optimisation (Eurozone operations)</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c>
          <w:tcPr/>
          <w:p>
            <w:pPr>
              <w:pStyle w:val="Compact"/>
              <w:jc w:val="left"/>
            </w:pPr>
            <w:r>
              <w:t xml:space="preserve">Monthly reporting to Client HQ</w:t>
            </w:r>
          </w:p>
        </w:tc>
      </w:tr>
      <w:tr>
        <w:tc>
          <w:tcPr/>
          <w:p>
            <w:pPr>
              <w:pStyle w:val="Compact"/>
              <w:jc w:val="left"/>
            </w:pPr>
            <w:r>
              <w:t xml:space="preserve">04</w:t>
            </w:r>
          </w:p>
        </w:tc>
        <w:tc>
          <w:tcPr/>
          <w:p>
            <w:pPr>
              <w:pStyle w:val="Compact"/>
              <w:jc w:val="left"/>
            </w:pPr>
            <w:r>
              <w:t xml:space="preserve">Regulatory Compliance &amp; AML/KYC Oversight (Banco de España &amp; CNMV alignment)</w:t>
            </w:r>
          </w:p>
        </w:tc>
        <w:tc>
          <w:tcPr/>
          <w:p>
            <w:pPr>
              <w:pStyle w:val="Compact"/>
              <w:jc w:val="left"/>
            </w:pPr>
            <w:r>
              <w:t xml:space="preserve">12 months</w:t>
            </w:r>
          </w:p>
        </w:tc>
        <w:tc>
          <w:tcPr/>
          <w:p>
            <w:pPr>
              <w:pStyle w:val="Compact"/>
              <w:jc w:val="left"/>
            </w:pPr>
            <w:r>
              <w:t xml:space="preserve">3,800.00 / month</w:t>
            </w:r>
          </w:p>
        </w:tc>
        <w:tc>
          <w:tcPr/>
          <w:p>
            <w:pPr>
              <w:pStyle w:val="Compact"/>
              <w:jc w:val="left"/>
            </w:pPr>
            <w:r>
              <w:t xml:space="preserve">45,600.00</w:t>
            </w:r>
          </w:p>
        </w:tc>
        <w:tc>
          <w:tcPr/>
          <w:p>
            <w:pPr>
              <w:pStyle w:val="Compact"/>
              <w:jc w:val="left"/>
            </w:pPr>
            <w:r>
              <w:t xml:space="preserve">Quarterly audit support included</w:t>
            </w:r>
          </w:p>
        </w:tc>
      </w:tr>
      <w:tr>
        <w:tc>
          <w:tcPr/>
          <w:p>
            <w:pPr>
              <w:pStyle w:val="Compact"/>
              <w:jc w:val="left"/>
            </w:pPr>
            <w:r>
              <w:t xml:space="preserve">05</w:t>
            </w:r>
          </w:p>
        </w:tc>
        <w:tc>
          <w:tcPr/>
          <w:p>
            <w:pPr>
              <w:pStyle w:val="Compact"/>
              <w:jc w:val="left"/>
            </w:pPr>
            <w:r>
              <w:t xml:space="preserve">Cross-Border Payment Facilitation &amp; FX Advisory (Spain ↔ EU/UK corridors)</w:t>
            </w:r>
          </w:p>
        </w:tc>
        <w:tc>
          <w:tcPr/>
          <w:p>
            <w:pPr>
              <w:pStyle w:val="Compact"/>
              <w:jc w:val="left"/>
            </w:pPr>
            <w:r>
              <w:t xml:space="preserve">Per transaction batch</w:t>
            </w:r>
          </w:p>
        </w:tc>
        <w:tc>
          <w:tcPr/>
          <w:p>
            <w:pPr>
              <w:pStyle w:val="Compact"/>
              <w:jc w:val="left"/>
            </w:pPr>
            <w:r>
              <w:t xml:space="preserve">1,200.00 / batch</w:t>
            </w:r>
          </w:p>
        </w:tc>
        <w:tc>
          <w:tcPr/>
          <w:p>
            <w:pPr>
              <w:pStyle w:val="Compact"/>
              <w:jc w:val="left"/>
            </w:pPr>
            <w:r>
              <w:t xml:space="preserve">14,400.00</w:t>
            </w:r>
          </w:p>
        </w:tc>
        <w:tc>
          <w:tcPr/>
          <w:p>
            <w:pPr>
              <w:pStyle w:val="Compact"/>
              <w:jc w:val="left"/>
            </w:pPr>
            <w:r>
              <w:t xml:space="preserve">Est. 12 batches over 12 months</w:t>
            </w:r>
          </w:p>
        </w:tc>
      </w:tr>
      <w:tr>
        <w:tc>
          <w:tcPr/>
          <w:p>
            <w:pPr>
              <w:pStyle w:val="Compact"/>
              <w:jc w:val="left"/>
            </w:pPr>
            <w:r>
              <w:t xml:space="preserve">06</w:t>
            </w:r>
          </w:p>
        </w:tc>
        <w:tc>
          <w:tcPr/>
          <w:p>
            <w:pPr>
              <w:pStyle w:val="Compact"/>
              <w:jc w:val="left"/>
            </w:pPr>
            <w:r>
              <w:t xml:space="preserve">On-Site Office Provision &amp; Administrative Support (Barcelona, Spain)</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c>
          <w:tcPr/>
          <w:p>
            <w:pPr>
              <w:pStyle w:val="Compact"/>
              <w:jc w:val="left"/>
            </w:pPr>
            <w:r>
              <w:t xml:space="preserve">C/ Av. Diagonal, Eixample district</w:t>
            </w:r>
          </w:p>
        </w:tc>
      </w:tr>
      <w:tr>
        <w:tc>
          <w:tcPr/>
          <w:p>
            <w:pPr>
              <w:pStyle w:val="Compact"/>
              <w:jc w:val="left"/>
            </w:pPr>
            <w:r>
              <w:t xml:space="preserve">07</w:t>
            </w:r>
          </w:p>
        </w:tc>
        <w:tc>
          <w:tcPr/>
          <w:p>
            <w:pPr>
              <w:pStyle w:val="Compact"/>
              <w:jc w:val="left"/>
            </w:pPr>
            <w:r>
              <w:t xml:space="preserve">Ad-Hoc Advisory &amp; Emergency Banking Support (up to 40 hours)</w:t>
            </w:r>
          </w:p>
        </w:tc>
        <w:tc>
          <w:tcPr/>
          <w:p>
            <w:pPr>
              <w:pStyle w:val="Compact"/>
              <w:jc w:val="left"/>
            </w:pPr>
            <w:r>
              <w:t xml:space="preserve">40 hours</w:t>
            </w:r>
          </w:p>
        </w:tc>
        <w:tc>
          <w:tcPr/>
          <w:p>
            <w:pPr>
              <w:pStyle w:val="Compact"/>
              <w:jc w:val="left"/>
            </w:pPr>
            <w:r>
              <w:t xml:space="preserve">250.00 / hour</w:t>
            </w:r>
          </w:p>
        </w:tc>
        <w:tc>
          <w:tcPr/>
          <w:p>
            <w:pPr>
              <w:pStyle w:val="Compact"/>
              <w:jc w:val="left"/>
            </w:pPr>
            <w:r>
              <w:t xml:space="preserve">10,000.00</w:t>
            </w:r>
          </w:p>
        </w:tc>
        <w:tc>
          <w:tcPr/>
          <w:p>
            <w:pPr>
              <w:pStyle w:val="Compact"/>
              <w:jc w:val="left"/>
            </w:pPr>
            <w:r>
              <w:t xml:space="preserve">Billed only if utilised</w:t>
            </w:r>
          </w:p>
        </w:tc>
      </w:tr>
      <w:tr>
        <w:tc>
          <w:tcPr>
            <w:gridSpan w:val="4"/>
          </w:tcPr>
          <w:p>
            <w:pPr>
              <w:pStyle w:val="Compact"/>
              <w:jc w:val="right"/>
            </w:pPr>
            <w:r>
              <w:t xml:space="preserve">Subtotal (excl. VAT)</w:t>
            </w:r>
          </w:p>
        </w:tc>
        <w:tc>
          <w:tcPr/>
          <w:p>
            <w:pPr>
              <w:pStyle w:val="Compact"/>
              <w:jc w:val="left"/>
            </w:pPr>
            <w:r>
              <w:t xml:space="preserve">321,100.00</w:t>
            </w:r>
          </w:p>
        </w:tc>
        <w:tc>
          <w:tcPr/>
          <w:p>
            <w:pPr>
              <w:pStyle w:val="Compact"/>
            </w:pPr>
          </w:p>
        </w:tc>
      </w:tr>
      <w:tr>
        <w:tc>
          <w:tcPr>
            <w:gridSpan w:val="4"/>
          </w:tcPr>
          <w:p>
            <w:pPr>
              <w:pStyle w:val="Compact"/>
              <w:jc w:val="right"/>
            </w:pPr>
            <w:r>
              <w:t xml:space="preserve">Spanish VAT (IVA) — 21%</w:t>
            </w:r>
          </w:p>
        </w:tc>
        <w:tc>
          <w:tcPr/>
          <w:p>
            <w:pPr>
              <w:pStyle w:val="Compact"/>
              <w:jc w:val="left"/>
            </w:pPr>
            <w:r>
              <w:t xml:space="preserve">67,431.00</w:t>
            </w:r>
          </w:p>
        </w:tc>
        <w:tc>
          <w:tcPr/>
          <w:p>
            <w:pPr>
              <w:pStyle w:val="Compact"/>
            </w:pPr>
          </w:p>
        </w:tc>
      </w:tr>
      <w:tr>
        <w:tc>
          <w:tcPr>
            <w:gridSpan w:val="4"/>
          </w:tcPr>
          <w:p>
            <w:pPr>
              <w:pStyle w:val="Compact"/>
              <w:jc w:val="right"/>
            </w:pPr>
            <w:r>
              <w:t xml:space="preserve">TOTAL QUOTATION ESTIMATE (incl. VAT)</w:t>
            </w:r>
          </w:p>
        </w:tc>
        <w:tc>
          <w:tcPr/>
          <w:p>
            <w:pPr>
              <w:pStyle w:val="Compact"/>
              <w:jc w:val="left"/>
            </w:pPr>
            <w:r>
              <w:t xml:space="preserve">388,531.00</w:t>
            </w:r>
          </w:p>
        </w:tc>
        <w:tc>
          <w:tcPr/>
          <w:p>
            <w:pPr>
              <w:pStyle w:val="Compact"/>
              <w:jc w:val="left"/>
            </w:pPr>
            <w:r>
              <w:t xml:space="preserve">EUR</w:t>
            </w:r>
          </w:p>
        </w:tc>
      </w:tr>
    </w:tbl>
    <w:p>
      <w:pPr>
        <w:pStyle w:val="BodyText"/>
      </w:pPr>
      <w:r>
        <w:t xml:space="preserve">All amounts are quoted in Euros (EUR). Spanish Value Added Tax (Impuesto sobre el Valor Añadido — IVA) at the standard rate of 21% is applied in accordance with the Ley 37/1992 del IVA. In the event the Client holds a valid EU VAT identification number and the services qualify for reverse-charge treatment, the VAT line item shall be adjusted accordingly.</w:t>
      </w:r>
    </w:p>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Beyond this period, all rates and availability of the designated Banker are subject to reconfirmation and potential revision.</w:t>
      </w:r>
    </w:p>
    <w:p>
      <w:pPr>
        <w:numPr>
          <w:ilvl w:val="0"/>
          <w:numId w:val="1001"/>
        </w:numPr>
        <w:pStyle w:val="Compact"/>
      </w:pPr>
      <w:r>
        <w:rPr>
          <w:bCs/>
          <w:b/>
        </w:rPr>
        <w:t xml:space="preserve">Acceptance:</w:t>
      </w:r>
      <w:r>
        <w:t xml:space="preserve"> </w:t>
      </w:r>
      <w:r>
        <w:t xml:space="preserve">The Client shall indicate acceptance by signing and returning a copy of this document within the validity period. Upon receipt of a signed acceptance, a formal Service Agreement (Contrato de Prestación de Servicios) shall be executed in accordance with Spanish civil and commercial law (Código Civil and Código de Comercio).</w:t>
      </w:r>
    </w:p>
    <w:p>
      <w:pPr>
        <w:numPr>
          <w:ilvl w:val="0"/>
          <w:numId w:val="1001"/>
        </w:numPr>
        <w:pStyle w:val="Compact"/>
      </w:pPr>
      <w:r>
        <w:rPr>
          <w:bCs/>
          <w:b/>
        </w:rPr>
        <w:t xml:space="preserve">Payment Schedule:</w:t>
      </w:r>
      <w:r>
        <w:t xml:space="preserve"> </w:t>
      </w:r>
      <w:r>
        <w:t xml:space="preserve">Invoices shall be issued on a monthly basis in arrears. Payment terms are Net 30 days from the date of invoice, payable via SEPA bank transfer to the account of Meridian Banking Advisory Group, S.L. in Barcelona, Spain. Late payments shall accrue interest at the rate established by the Ley 3/2004 de lucha contra la morosidad en las operaciones comerciales.</w:t>
      </w:r>
    </w:p>
    <w:p>
      <w:pPr>
        <w:numPr>
          <w:ilvl w:val="0"/>
          <w:numId w:val="1001"/>
        </w:numPr>
        <w:pStyle w:val="Compact"/>
      </w:pPr>
      <w:r>
        <w:rPr>
          <w:bCs/>
          <w:b/>
        </w:rPr>
        <w:t xml:space="preserve">Banker Availability &amp; Substitution:</w:t>
      </w:r>
      <w:r>
        <w:t xml:space="preserve"> </w:t>
      </w:r>
      <w:r>
        <w:t xml:space="preserve">The designated Banker shall be available on-site in Barcelona, Spain, for a minimum of 40 hours per week (Monday to Friday, 09:00–18:00 CET). In the event of illness or leave, a qualified substitute Banker of equivalent seniority shall be provided with no additional cost to the Client.</w:t>
      </w:r>
    </w:p>
    <w:p>
      <w:pPr>
        <w:numPr>
          <w:ilvl w:val="0"/>
          <w:numId w:val="1001"/>
        </w:numPr>
        <w:pStyle w:val="Compact"/>
      </w:pPr>
      <w:r>
        <w:rPr>
          <w:bCs/>
          <w:b/>
        </w:rPr>
        <w:t xml:space="preserve">Confidentiality &amp; Data Protection:</w:t>
      </w:r>
      <w:r>
        <w:t xml:space="preserve"> </w:t>
      </w:r>
      <w:r>
        <w:t xml:space="preserve">All banking data, financial records, and client information handled by the Banker shall be treated as strictly confidential. Processing of personal data shall comply with the Spanish Organic Law 3/2018 (LOPDGDD) and the EU General Data Protection Regulation (GDPR).</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termination, the Client shall be liable for all services rendered up to the effective date of termination, as itemised in this Quotation Estimate.</w:t>
      </w:r>
    </w:p>
    <w:p>
      <w:pPr>
        <w:numPr>
          <w:ilvl w:val="0"/>
          <w:numId w:val="1001"/>
        </w:numPr>
        <w:pStyle w:val="Compact"/>
      </w:pPr>
      <w:r>
        <w:rPr>
          <w:bCs/>
          <w:b/>
        </w:rPr>
        <w:t xml:space="preserve">Governing Law &amp; Jurisdiction:</w:t>
      </w:r>
      <w:r>
        <w:t xml:space="preserve"> </w:t>
      </w:r>
      <w:r>
        <w:t xml:space="preserve">This Quotation Estimate and any resulting Service Agreement shall be governed by the laws of Spain. Any disputes shall be submitted to the competent courts of Barcelona, Spain, unless the parties agree in writing to alternative dispute resolution.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regulatory changes enacted by the Banco de España or the European Central Bank.</w:t>
      </w:r>
    </w:p>
    <w:bookmarkEnd w:id="23"/>
    <w:bookmarkStart w:id="24" w:name="additional-notes-for-the-client"/>
    <w:p>
      <w:pPr>
        <w:pStyle w:val="Heading2"/>
      </w:pPr>
      <w:r>
        <w:t xml:space="preserve">4. Additional Notes for the Client</w:t>
      </w:r>
    </w:p>
    <w:p>
      <w:pPr>
        <w:pStyle w:val="FirstParagraph"/>
      </w:pPr>
      <w:r>
        <w:t xml:space="preserve">The services outlined in this Quotation Estimate are specifically structured for operational delivery in</w:t>
      </w:r>
      <w:r>
        <w:t xml:space="preserve"> </w:t>
      </w:r>
      <w:r>
        <w:t xml:space="preserve">Spain Barcelona</w:t>
      </w:r>
      <w:r>
        <w:t xml:space="preserve">, leveraging the city’s position as the principal financial and commercial centre of Catalonia and one of the leading banking hubs in southern Europe. The appointed</w:t>
      </w:r>
      <w:r>
        <w:t xml:space="preserve"> </w:t>
      </w:r>
      <w:r>
        <w:t xml:space="preserve">Banker</w:t>
      </w:r>
      <w:r>
        <w:t xml:space="preserve"> </w:t>
      </w:r>
      <w:r>
        <w:t xml:space="preserve">possesses extensive experience in Spanish corporate banking, familiarity with the local regulatory landscape, and established relationships with major financial institutions operating in Barcelona, including Banco Santander, BBVA, CaixaBank, and Bankia. Should the Client require the services to be extended to other regions of Spain, a supplementary addendum to this Quotation Estimate shall be prepared at no additional drafting cost.</w:t>
      </w:r>
    </w:p>
    <w:p>
      <w:pPr>
        <w:pStyle w:val="BodyText"/>
      </w:pPr>
      <w:r>
        <w:t xml:space="preserve">This document constitutes a formal</w:t>
      </w:r>
      <w:r>
        <w:t xml:space="preserve"> </w:t>
      </w:r>
      <w:r>
        <w:t xml:space="preserve">Quotation Estimate</w:t>
      </w:r>
      <w:r>
        <w:t xml:space="preserve"> </w:t>
      </w:r>
      <w:r>
        <w:t xml:space="preserve">and does not, in itself, create a binding contractual obligation until both parties have executed the definitive Service Agreement. All figures are estimates based on the current scope and may be subject to adjustment in the event of material changes to the project requirements, regulatory environment, or market conditions in Spain.</w:t>
      </w:r>
    </w:p>
    <w:p>
      <w:pPr>
        <w:pStyle w:val="BodyText"/>
      </w:pPr>
      <w:r>
        <w:rPr>
          <w:bCs/>
          <w:b/>
        </w:rPr>
        <w:t xml:space="preserve">For and on behalf of</w:t>
      </w:r>
      <w:r>
        <w:br/>
      </w:r>
      <w:r>
        <w:t xml:space="preserve">Meridian Banking Advisory Group, S.L.</w:t>
      </w:r>
    </w:p>
    <w:p>
      <w:pPr>
        <w:pStyle w:val="BodyText"/>
      </w:pPr>
      <w:r>
        <w:t xml:space="preserve">Name: ___________________________</w:t>
      </w:r>
      <w:r>
        <w:br/>
      </w:r>
      <w:r>
        <w:t xml:space="preserve">Title: Managing Director</w:t>
      </w:r>
      <w:r>
        <w:br/>
      </w:r>
      <w:r>
        <w:t xml:space="preserve">Date: ___________________________</w:t>
      </w:r>
    </w:p>
    <w:p>
      <w:pPr>
        <w:pStyle w:val="BodyText"/>
      </w:pPr>
      <w:r>
        <w:rPr>
          <w:bCs/>
          <w:b/>
        </w:rPr>
        <w:t xml:space="preserve">Accepted by the Client</w:t>
      </w:r>
    </w:p>
    <w:p>
      <w:pPr>
        <w:pStyle w:val="BodyText"/>
      </w:pP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(Ref. QTE-SPN-BCN-2025-04782) was prepared by Meridian Banking Advisory Group, S.L., registered in the Registro Mercantil de Barcelona, Tomo 4521, Folio 88, Hoja B-452187, CIF B-65432109. All banking services are provided in compliance with the regulations of the Banco de España and the European Central Bank. © 2025 Meridian Banking Advisory Group, S.L. — Barcelona,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Spain Barcelona</dc:title>
  <dc:creator/>
  <dc:language>en</dc:language>
  <cp:keywords/>
  <dcterms:created xsi:type="dcterms:W3CDTF">2026-10-10T08:35:56Z</dcterms:created>
  <dcterms:modified xsi:type="dcterms:W3CDTF">2026-10-10T08:35:56Z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