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Banking &amp; Financial Advisory Services</w:t>
      </w:r>
    </w:p>
    <w:p>
      <w:pPr>
        <w:pStyle w:val="BodyText"/>
      </w:pPr>
      <w:r>
        <w:t xml:space="preserve">Banker Services — Spain Valencia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QTE-VAL-2025-0487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calendar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Mr. Alejandro Ferrán Soler, CFA</w:t>
            </w:r>
          </w:p>
        </w:tc>
      </w:tr>
      <w:tr>
        <w:tc>
          <w:tcPr/>
          <w:p>
            <w:pPr>
              <w:pStyle w:val="Compact"/>
              <w:jc w:val="left"/>
            </w:pPr>
            <w:r>
              <w:rPr>
                <w:bCs/>
                <w:b/>
              </w:rPr>
              <w:t xml:space="preserve">Role:</w:t>
            </w:r>
          </w:p>
        </w:tc>
        <w:tc>
          <w:tcPr/>
          <w:p>
            <w:pPr>
              <w:pStyle w:val="Compact"/>
              <w:jc w:val="left"/>
            </w:pPr>
            <w:r>
              <w:t xml:space="preserve">Senior Banker &amp; Financial Advisor</w:t>
            </w:r>
          </w:p>
        </w:tc>
      </w:tr>
      <w:tr>
        <w:tc>
          <w:tcPr/>
          <w:p>
            <w:pPr>
              <w:pStyle w:val="Compact"/>
              <w:jc w:val="left"/>
            </w:pPr>
            <w:r>
              <w:rPr>
                <w:bCs/>
                <w:b/>
              </w:rPr>
              <w:t xml:space="preserve">Office:</w:t>
            </w:r>
          </w:p>
        </w:tc>
        <w:tc>
          <w:tcPr/>
          <w:p>
            <w:pPr>
              <w:pStyle w:val="Compact"/>
              <w:jc w:val="left"/>
            </w:pPr>
            <w:r>
              <w:t xml:space="preserve">C/ Colón 42, 4ºB, 46004 Valencia, Spain</w:t>
            </w:r>
          </w:p>
        </w:tc>
      </w:tr>
      <w:tr>
        <w:tc>
          <w:tcPr/>
          <w:p>
            <w:pPr>
              <w:pStyle w:val="Compact"/>
              <w:jc w:val="left"/>
            </w:pPr>
            <w:r>
              <w:rPr>
                <w:bCs/>
                <w:b/>
              </w:rPr>
              <w:t xml:space="preserve">Contact:</w:t>
            </w:r>
          </w:p>
        </w:tc>
        <w:tc>
          <w:tcPr/>
          <w:p>
            <w:pPr>
              <w:pStyle w:val="Compact"/>
              <w:jc w:val="left"/>
            </w:pPr>
            <w:r>
              <w:t xml:space="preserve">+34 963 552 118 | a.ferran@valencianbankers.es</w:t>
            </w:r>
          </w:p>
        </w:tc>
      </w:tr>
    </w:tbl>
    <w:p>
      <w:pPr>
        <w:pStyle w:val="BodyText"/>
      </w:pPr>
      <w:r>
        <w:t xml:space="preserve">1. Client Information</w:t>
      </w:r>
    </w:p>
    <w:p>
      <w:pPr>
        <w:pStyle w:val="BodyText"/>
      </w:pPr>
      <w:r>
        <w:rPr>
          <w:bCs/>
          <w:b/>
        </w:rPr>
        <w:t xml:space="preserve">Client Name:</w:t>
      </w:r>
      <w:r>
        <w:t xml:space="preserve"> </w:t>
      </w:r>
      <w:r>
        <w:t xml:space="preserve">Grupo Mediterráneo Industrial, S.L.</w:t>
      </w:r>
      <w:r>
        <w:br/>
      </w:r>
      <w:r>
        <w:rPr>
          <w:bCs/>
          <w:b/>
        </w:rPr>
        <w:t xml:space="preserve">Registered Address:</w:t>
      </w:r>
      <w:r>
        <w:t xml:space="preserve"> </w:t>
      </w:r>
      <w:r>
        <w:t xml:space="preserve">Polígono Industrial El Oliveral, C/ de la Innovación 17, 46980 Paterna, Valencia, Spain</w:t>
      </w:r>
      <w:r>
        <w:br/>
      </w:r>
      <w:r>
        <w:rPr>
          <w:bCs/>
          <w:b/>
        </w:rPr>
        <w:t xml:space="preserve">VAT Number (NIF):</w:t>
      </w:r>
      <w:r>
        <w:t xml:space="preserve"> </w:t>
      </w:r>
      <w:r>
        <w:t xml:space="preserve">B-46882310</w:t>
      </w:r>
      <w:r>
        <w:br/>
      </w:r>
      <w:r>
        <w:rPr>
          <w:bCs/>
          <w:b/>
        </w:rPr>
        <w:t xml:space="preserve">Primary Contact:</w:t>
      </w:r>
      <w:r>
        <w:t xml:space="preserve"> </w:t>
      </w:r>
      <w:r>
        <w:t xml:space="preserve">Sra. Carmen Llopis, Chief Financial Officer</w:t>
      </w:r>
      <w:r>
        <w:br/>
      </w:r>
      <w:r>
        <w:rPr>
          <w:bCs/>
          <w:b/>
        </w:rPr>
        <w:t xml:space="preserve">Phone:</w:t>
      </w:r>
      <w:r>
        <w:t xml:space="preserve"> </w:t>
      </w:r>
      <w:r>
        <w:t xml:space="preserve">+34 961 447 203</w:t>
      </w:r>
    </w:p>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Banker</w:t>
      </w:r>
      <w:r>
        <w:t xml:space="preserve">, operating in full compliance with the regulatory framework established by the Banco de España and the Comisión Nacional del Mercado de Valores (CNMV), to formally present the scope, deliverables, and associated professional fees for comprehensive banking and financial advisory services to be rendered to the above-named client. The services described herein are to be executed within the jurisdiction of</w:t>
      </w:r>
      <w:r>
        <w:t xml:space="preserve"> </w:t>
      </w:r>
      <w:r>
        <w:t xml:space="preserve">Spain Valencia</w:t>
      </w:r>
      <w:r>
        <w:t xml:space="preserve">, specifically within the Valencia Provincial Court district, and shall adhere to all applicable provisions of the Spanish Banking Law (Ley 46/1984 de Bancarias y de las Instituciones Financieras) and the General Tax Law (Ley 58/2003 General Tributaria).</w:t>
      </w:r>
    </w:p>
    <w:p>
      <w:pPr>
        <w:pStyle w:val="BodyText"/>
      </w:pPr>
      <w:r>
        <w:t xml:space="preserve">This</w:t>
      </w:r>
      <w:r>
        <w:t xml:space="preserve"> </w:t>
      </w:r>
      <w:r>
        <w:t xml:space="preserve">Quotation Estimate</w:t>
      </w:r>
      <w:r>
        <w:t xml:space="preserve"> </w:t>
      </w:r>
      <w:r>
        <w:t xml:space="preserve">does not constitute a binding contract until formally accepted in writing by both parties. It serves solely as a transparent and itemised projection of the costs the client may expect to incur upon engagement of the</w:t>
      </w:r>
      <w:r>
        <w:t xml:space="preserve"> </w:t>
      </w:r>
      <w:r>
        <w:t xml:space="preserve">Banker</w:t>
      </w:r>
      <w:r>
        <w:t xml:space="preserve">'s professional services in</w:t>
      </w:r>
      <w:r>
        <w:t xml:space="preserve"> </w:t>
      </w:r>
      <w:r>
        <w:t xml:space="preserve">Spain Valencia</w:t>
      </w:r>
      <w:r>
        <w:t xml:space="preserve">.</w:t>
      </w:r>
    </w:p>
    <w:p>
      <w:pPr>
        <w:pStyle w:val="BodyText"/>
      </w:pPr>
      <w:r>
        <w:t xml:space="preserve">3. Scope of Services &amp; Itemised Cost Breakdown</w:t>
      </w:r>
    </w:p>
    <w:p>
      <w:pPr>
        <w:pStyle w:val="BodyText"/>
      </w:pPr>
      <w:r>
        <w:t xml:space="preserve">The following table details each component of the banking engagement. All fees are quoted in Euros (EUR) and are exclusive of the applicable Spanish Value Added Tax (IVA) at the current rate of 21%, which shall be added at the point of invoicing.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Estimated Total (EUR)</w:t>
            </w:r>
          </w:p>
        </w:tc>
      </w:tr>
      <w:tr>
        <w:tc>
          <w:tcPr/>
          <w:p>
            <w:pPr>
              <w:pStyle w:val="Compact"/>
              <w:jc w:val="left"/>
            </w:pPr>
            <w:r>
              <w:t xml:space="preserve">3.1</w:t>
            </w:r>
          </w:p>
        </w:tc>
        <w:tc>
          <w:tcPr/>
          <w:p>
            <w:pPr>
              <w:pStyle w:val="Compact"/>
              <w:jc w:val="left"/>
            </w:pPr>
            <w:r>
              <w:t xml:space="preserve">Comprehensive corporate banking account restructuring and multi-currency facility setup with a Tier-1 Spanish bank operating in Valencia</w:t>
            </w:r>
          </w:p>
        </w:tc>
        <w:tc>
          <w:tcPr/>
          <w:p>
            <w:pPr>
              <w:pStyle w:val="Compact"/>
              <w:jc w:val="left"/>
            </w:pPr>
            <w:r>
              <w:t xml:space="preserve">One-time engagement (4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3.2</w:t>
            </w:r>
          </w:p>
        </w:tc>
        <w:tc>
          <w:tcPr/>
          <w:p>
            <w:pPr>
              <w:pStyle w:val="Compact"/>
              <w:jc w:val="left"/>
            </w:pPr>
            <w:r>
              <w:t xml:space="preserve">Working capital loan structuring, credit line negotiation, and syndication advisory for a facility of up to €2,500,000</w:t>
            </w:r>
          </w:p>
        </w:tc>
        <w:tc>
          <w:tcPr/>
          <w:p>
            <w:pPr>
              <w:pStyle w:val="Compact"/>
              <w:jc w:val="left"/>
            </w:pPr>
            <w:r>
              <w:t xml:space="preserve">One-time engagement (6 weeks)</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3.3</w:t>
            </w:r>
          </w:p>
        </w:tc>
        <w:tc>
          <w:tcPr/>
          <w:p>
            <w:pPr>
              <w:pStyle w:val="Compact"/>
              <w:jc w:val="left"/>
            </w:pPr>
            <w:r>
              <w:t xml:space="preserve">Monthly treasury management, cash-flow forecasting, and liquidity optimisation reporting</w:t>
            </w:r>
          </w:p>
        </w:tc>
        <w:tc>
          <w:tcPr/>
          <w:p>
            <w:pPr>
              <w:pStyle w:val="Compact"/>
              <w:jc w:val="left"/>
            </w:pPr>
            <w:r>
              <w:t xml:space="preserve">12 months (monthly)</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3.4</w:t>
            </w:r>
          </w:p>
        </w:tc>
        <w:tc>
          <w:tcPr/>
          <w:p>
            <w:pPr>
              <w:pStyle w:val="Compact"/>
              <w:jc w:val="left"/>
            </w:pPr>
            <w:r>
              <w:t xml:space="preserve">Foreign exchange hedging strategy design and execution oversight for EUR/USD and EUR/GBP exposure</w:t>
            </w:r>
          </w:p>
        </w:tc>
        <w:tc>
          <w:tcPr/>
          <w:p>
            <w:pPr>
              <w:pStyle w:val="Compact"/>
              <w:jc w:val="left"/>
            </w:pPr>
            <w:r>
              <w:t xml:space="preserve">12 months (quarterly reviews)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3.5</w:t>
            </w:r>
          </w:p>
        </w:tc>
        <w:tc>
          <w:tcPr/>
          <w:p>
            <w:pPr>
              <w:pStyle w:val="Compact"/>
              <w:jc w:val="left"/>
            </w:pPr>
            <w:r>
              <w:t xml:space="preserve">Regulatory compliance audit and AML/KYC documentation preparation in accordance with Banco de España circulars</w:t>
            </w:r>
          </w:p>
        </w:tc>
        <w:tc>
          <w:tcPr/>
          <w:p>
            <w:pPr>
              <w:pStyle w:val="Compact"/>
              <w:jc w:val="left"/>
            </w:pPr>
            <w:r>
              <w:t xml:space="preserve">One-time engagement (3 weeks)</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3.6</w:t>
            </w:r>
          </w:p>
        </w:tc>
        <w:tc>
          <w:tcPr/>
          <w:p>
            <w:pPr>
              <w:pStyle w:val="Compact"/>
              <w:jc w:val="left"/>
            </w:pPr>
            <w:r>
              <w:t xml:space="preserve">Ad-hoc advisory sessions with the</w:t>
            </w:r>
            <w:r>
              <w:t xml:space="preserve"> </w:t>
            </w:r>
            <w:r>
              <w:t xml:space="preserve">Banker</w:t>
            </w:r>
            <w:r>
              <w:t xml:space="preserve"> </w:t>
            </w:r>
            <w:r>
              <w:t xml:space="preserve">for board-level strategic financial planning (up to 8 hours per quarter)</w:t>
            </w:r>
          </w:p>
        </w:tc>
        <w:tc>
          <w:tcPr/>
          <w:p>
            <w:pPr>
              <w:pStyle w:val="Compact"/>
              <w:jc w:val="left"/>
            </w:pPr>
            <w:r>
              <w:t xml:space="preserve">12 months (quarterly)</w:t>
            </w:r>
          </w:p>
        </w:tc>
        <w:tc>
          <w:tcPr/>
          <w:p>
            <w:pPr>
              <w:pStyle w:val="Compact"/>
              <w:jc w:val="left"/>
            </w:pPr>
            <w:r>
              <w:t xml:space="preserve">180.00 / hr</w:t>
            </w:r>
          </w:p>
        </w:tc>
        <w:tc>
          <w:tcPr/>
          <w:p>
            <w:pPr>
              <w:pStyle w:val="Compact"/>
              <w:jc w:val="left"/>
            </w:pPr>
            <w:r>
              <w:t xml:space="preserve">5,760.00</w:t>
            </w:r>
          </w:p>
        </w:tc>
      </w:tr>
      <w:tr>
        <w:tc>
          <w:tcPr/>
          <w:p>
            <w:pPr>
              <w:pStyle w:val="Compact"/>
              <w:jc w:val="left"/>
            </w:pPr>
            <w:r>
              <w:t xml:space="preserve">3.7</w:t>
            </w:r>
          </w:p>
        </w:tc>
        <w:tc>
          <w:tcPr/>
          <w:p>
            <w:pPr>
              <w:pStyle w:val="Compact"/>
              <w:jc w:val="left"/>
            </w:pPr>
            <w:r>
              <w:t xml:space="preserve">Travel and on-site meetings at the client's premises in Paterna, Valencia, and at the</w:t>
            </w:r>
            <w:r>
              <w:t xml:space="preserve"> </w:t>
            </w:r>
            <w:r>
              <w:t xml:space="preserve">Banker</w:t>
            </w:r>
            <w:r>
              <w:t xml:space="preserve">'s office in central Valencia</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1,200.00</w:t>
            </w:r>
          </w:p>
        </w:tc>
      </w:tr>
      <w:tr>
        <w:tc>
          <w:tcPr>
            <w:gridSpan w:val="4"/>
          </w:tcPr>
          <w:p>
            <w:pPr>
              <w:pStyle w:val="Compact"/>
              <w:jc w:val="right"/>
            </w:pPr>
            <w:r>
              <w:t xml:space="preserve">Subtotal (excl. IVA 21%)</w:t>
            </w:r>
          </w:p>
        </w:tc>
        <w:tc>
          <w:tcPr/>
          <w:p>
            <w:pPr>
              <w:pStyle w:val="Compact"/>
              <w:jc w:val="left"/>
            </w:pPr>
            <w:r>
              <w:t xml:space="preserve">44,510.00</w:t>
            </w:r>
          </w:p>
        </w:tc>
      </w:tr>
      <w:tr>
        <w:tc>
          <w:tcPr>
            <w:gridSpan w:val="4"/>
          </w:tcPr>
          <w:p>
            <w:pPr>
              <w:pStyle w:val="Compact"/>
              <w:jc w:val="right"/>
            </w:pPr>
            <w:r>
              <w:t xml:space="preserve">IVA (21%)</w:t>
            </w:r>
          </w:p>
        </w:tc>
        <w:tc>
          <w:tcPr/>
          <w:p>
            <w:pPr>
              <w:pStyle w:val="Compact"/>
              <w:jc w:val="left"/>
            </w:pPr>
            <w:r>
              <w:t xml:space="preserve">9,347.10</w:t>
            </w:r>
          </w:p>
        </w:tc>
      </w:tr>
      <w:tr>
        <w:tc>
          <w:tcPr>
            <w:gridSpan w:val="4"/>
          </w:tcPr>
          <w:p>
            <w:pPr>
              <w:pStyle w:val="Compact"/>
              <w:jc w:val="right"/>
            </w:pPr>
            <w:r>
              <w:t xml:space="preserve">GRAND TOTAL (incl. IVA)</w:t>
            </w:r>
          </w:p>
        </w:tc>
        <w:tc>
          <w:tcPr/>
          <w:p>
            <w:pPr>
              <w:pStyle w:val="Compact"/>
              <w:jc w:val="left"/>
            </w:pPr>
            <w:r>
              <w:t xml:space="preserve">53,857.10</w:t>
            </w: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via direct bank transfer (SEPA) to the</w:t>
      </w:r>
      <w:r>
        <w:t xml:space="preserve"> </w:t>
      </w:r>
      <w:r>
        <w:t xml:space="preserve">Banker</w:t>
      </w:r>
      <w:r>
        <w:t xml:space="preserve">'s designated professional account held at CaixaBank, S.A., Valencia branch. The payment schedule is as follows:</w:t>
      </w:r>
    </w:p>
    <w:p>
      <w:pPr>
        <w:numPr>
          <w:ilvl w:val="0"/>
          <w:numId w:val="1001"/>
        </w:numPr>
        <w:pStyle w:val="Compact"/>
      </w:pPr>
      <w:r>
        <w:rPr>
          <w:bCs/>
          <w:b/>
        </w:rPr>
        <w:t xml:space="preserve">30% advance payment</w:t>
      </w:r>
      <w:r>
        <w:t xml:space="preserve"> </w:t>
      </w:r>
      <w:r>
        <w:t xml:space="preserve">(€16,157.13 incl. IVA) due within 10 business days of written acceptance of this quotation.</w:t>
      </w:r>
    </w:p>
    <w:p>
      <w:pPr>
        <w:numPr>
          <w:ilvl w:val="0"/>
          <w:numId w:val="1001"/>
        </w:numPr>
        <w:pStyle w:val="Compact"/>
      </w:pPr>
      <w:r>
        <w:rPr>
          <w:bCs/>
          <w:b/>
        </w:rPr>
        <w:t xml:space="preserve">Monthly instalments</w:t>
      </w:r>
      <w:r>
        <w:t xml:space="preserve"> </w:t>
      </w:r>
      <w:r>
        <w:t xml:space="preserve">of €2,954.76 (incl. IVA) for the recurring treasury and advisory services (Items 3.3, 3.4, 3.6), payable on the 5th business day of each month.</w:t>
      </w:r>
    </w:p>
    <w:p>
      <w:pPr>
        <w:numPr>
          <w:ilvl w:val="0"/>
          <w:numId w:val="1001"/>
        </w:numPr>
        <w:pStyle w:val="Compact"/>
      </w:pPr>
      <w:r>
        <w:rPr>
          <w:bCs/>
          <w:b/>
        </w:rPr>
        <w:t xml:space="preserve">One-time deliverables</w:t>
      </w:r>
      <w:r>
        <w:t xml:space="preserve"> </w:t>
      </w:r>
      <w:r>
        <w:t xml:space="preserve">(Items 3.1, 3.2, 3.5) shall be invoiced upon completion and are payable within 30 days of invoice date.</w:t>
      </w:r>
    </w:p>
    <w:p>
      <w:pPr>
        <w:numPr>
          <w:ilvl w:val="0"/>
          <w:numId w:val="1001"/>
        </w:numPr>
        <w:pStyle w:val="Compact"/>
      </w:pPr>
      <w:r>
        <w:rPr>
          <w:bCs/>
          <w:b/>
        </w:rPr>
        <w:t xml:space="preserve">Travel costs</w:t>
      </w:r>
      <w:r>
        <w:t xml:space="preserve"> </w:t>
      </w:r>
      <w:r>
        <w:t xml:space="preserve">(Item 3.7) shall be settled in a single lump sum at the conclusion of the 12-month engagement period.</w:t>
      </w:r>
    </w:p>
    <w:p>
      <w:pPr>
        <w:pStyle w:val="FirstParagraph"/>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Banker</w:t>
      </w:r>
      <w:r>
        <w:t xml:space="preserve"> </w:t>
      </w:r>
      <w:r>
        <w:t xml:space="preserve">reserves the right to revise fees to reflect changes in market conditions, regulatory requirements, or operational costs within</w:t>
      </w:r>
      <w:r>
        <w:t xml:space="preserve"> </w:t>
      </w:r>
      <w:r>
        <w:t xml:space="preserve">Spain Valencia</w:t>
      </w:r>
      <w:r>
        <w:t xml:space="preserve">.</w:t>
      </w:r>
    </w:p>
    <w:p>
      <w:pPr>
        <w:numPr>
          <w:ilvl w:val="0"/>
          <w:numId w:val="1002"/>
        </w:numPr>
        <w:pStyle w:val="Compact"/>
      </w:pPr>
      <w:r>
        <w:t xml:space="preserve">All services shall be performed in strict accordance with the professional code of conduct of the Colegio Oficial de Economistas de Valencia and the ethical standards mandated by the Banco de España for licensed banking professionals.</w:t>
      </w:r>
    </w:p>
    <w:p>
      <w:pPr>
        <w:numPr>
          <w:ilvl w:val="0"/>
          <w:numId w:val="1002"/>
        </w:numPr>
        <w:pStyle w:val="Compact"/>
      </w:pPr>
      <w:r>
        <w:t xml:space="preserve">The</w:t>
      </w:r>
      <w:r>
        <w:t xml:space="preserve"> </w:t>
      </w:r>
      <w:r>
        <w:t xml:space="preserve">Banker</w:t>
      </w:r>
      <w:r>
        <w:t xml:space="preserve"> </w:t>
      </w:r>
      <w:r>
        <w:t xml:space="preserve">shall maintain professional indemnity insurance with a minimum coverage of €1,000,000 per claim, as required for financial advisory practitioners operating in the Valencian Community.</w:t>
      </w:r>
    </w:p>
    <w:p>
      <w:pPr>
        <w:numPr>
          <w:ilvl w:val="0"/>
          <w:numId w:val="1002"/>
        </w:numPr>
        <w:pStyle w:val="Compact"/>
      </w:pPr>
      <w:r>
        <w:t xml:space="preserve">Confidentiality: All financial data, account structures, and strategic information shared during the engagement shall be treated as strictly confidential and shall not be disclosed to any third party without the prior written consent of the client, in compliance with the Spanish Organic Law 3/2018 on Data Protection (LOPDGDD) and the EU General Data Protection Regulation (GDPR).</w:t>
      </w:r>
    </w:p>
    <w:p>
      <w:pPr>
        <w:numPr>
          <w:ilvl w:val="0"/>
          <w:numId w:val="1002"/>
        </w:numPr>
        <w:pStyle w:val="Compact"/>
      </w:pPr>
      <w:r>
        <w:t xml:space="preserve">Force Majeure: Neither party shall be held liable for delays or failures in performance resulting from events beyond reasonable control, including but not limited to natural disasters, civil unrest, or regulatory moratoriums imposed by Spanish or EU authorities.</w:t>
      </w:r>
    </w:p>
    <w:p>
      <w:pPr>
        <w:numPr>
          <w:ilvl w:val="0"/>
          <w:numId w:val="1002"/>
        </w:numPr>
        <w:pStyle w:val="Compact"/>
      </w:pPr>
      <w:r>
        <w:t xml:space="preserve">Dispute Resolution: Any dispute arising from or in connection with this</w:t>
      </w:r>
      <w:r>
        <w:t xml:space="preserve"> </w:t>
      </w:r>
      <w:r>
        <w:t xml:space="preserve">Quotation Estimate</w:t>
      </w:r>
      <w:r>
        <w:t xml:space="preserve"> </w:t>
      </w:r>
      <w:r>
        <w:t xml:space="preserve">or the subsequent engagement shall be submitted to the competent courts of Valencia, Spain, or, at the client's election, to arbitration under the rules of the Valencia Chamber of Commerce (Cámara Oficial de Comercio de Valencia).</w:t>
      </w:r>
    </w:p>
    <w:p>
      <w:pPr>
        <w:numPr>
          <w:ilvl w:val="0"/>
          <w:numId w:val="1002"/>
        </w:numPr>
        <w:pStyle w:val="Compact"/>
      </w:pPr>
      <w:r>
        <w:t xml:space="preserve">Tax Compliance: The client acknowledges that all fees are subject to Spanish tax legislation. The</w:t>
      </w:r>
      <w:r>
        <w:t xml:space="preserve"> </w:t>
      </w:r>
      <w:r>
        <w:t xml:space="preserve">Banker</w:t>
      </w:r>
      <w:r>
        <w:t xml:space="preserve"> </w:t>
      </w:r>
      <w:r>
        <w:t xml:space="preserve">shall issue valid fiscal invoices (facturas) in accordance with the Ley 58/2003 and the Reglamento de Facturación (RD 1619/2012).</w:t>
      </w:r>
    </w:p>
    <w:p>
      <w:pPr>
        <w:numPr>
          <w:ilvl w:val="0"/>
          <w:numId w:val="1002"/>
        </w:numPr>
        <w:pStyle w:val="Compact"/>
      </w:pPr>
      <w:r>
        <w:t xml:space="preserve">Termination: Either party may terminate the engagement with thirty (30) days' written notice. In the event of early termination, the client shall be liable for all fees attributable to services already rendered and any non-recoverable third-party costs incurred by the</w:t>
      </w:r>
      <w:r>
        <w:t xml:space="preserve"> </w:t>
      </w:r>
      <w:r>
        <w:t xml:space="preserve">Banker</w:t>
      </w:r>
      <w:r>
        <w:t xml:space="preserve">.</w:t>
      </w:r>
    </w:p>
    <w:p>
      <w:pPr>
        <w:pStyle w:val="FirstParagraph"/>
      </w:pPr>
      <w:r>
        <w:t xml:space="preserve">6. Acceptance</w:t>
      </w:r>
    </w:p>
    <w:p>
      <w:pPr>
        <w:pStyle w:val="BodyText"/>
      </w:pPr>
      <w:r>
        <w:t xml:space="preserve">By signing below, the client acknowledges that this</w:t>
      </w:r>
      <w:r>
        <w:t xml:space="preserve"> </w:t>
      </w:r>
      <w:r>
        <w:t xml:space="preserve">Quotation Estimate</w:t>
      </w:r>
      <w:r>
        <w:t xml:space="preserve"> </w:t>
      </w:r>
      <w:r>
        <w:t xml:space="preserve">has been reviewed in its entirety and agrees to the scope of services, fee structure, and terms set forth herein. The</w:t>
      </w:r>
      <w:r>
        <w:t xml:space="preserve"> </w:t>
      </w:r>
      <w:r>
        <w:t xml:space="preserve">Banker</w:t>
      </w:r>
      <w:r>
        <w:t xml:space="preserve"> </w:t>
      </w:r>
      <w:r>
        <w:t xml:space="preserve">confirms readiness to commence services upon receipt of the advance payment and execution of the definitive Service Agreement.</w:t>
      </w:r>
    </w:p>
    <w:p>
      <w:pPr>
        <w:pStyle w:val="BodyText"/>
      </w:pPr>
      <w:r>
        <w:rPr>
          <w:bCs/>
          <w:b/>
        </w:rPr>
        <w:t xml:space="preserve">For the Banker (Service Provider):</w:t>
      </w:r>
      <w:r>
        <w:br/>
      </w:r>
      <w:r>
        <w:br/>
      </w:r>
      <w:r>
        <w:t xml:space="preserve">________________________________</w:t>
      </w:r>
      <w:r>
        <w:br/>
      </w:r>
      <w:r>
        <w:t xml:space="preserve">Mr. Alejandro Ferrán Soler, CFA</w:t>
      </w:r>
      <w:r>
        <w:br/>
      </w:r>
      <w:r>
        <w:t xml:space="preserve">Senior Banker &amp; Financial Advisor</w:t>
      </w:r>
      <w:r>
        <w:br/>
      </w:r>
      <w:r>
        <w:t xml:space="preserve">Date: _______________</w:t>
      </w:r>
    </w:p>
    <w:p>
      <w:pPr>
        <w:pStyle w:val="BodyText"/>
      </w:pPr>
      <w:r>
        <w:rPr>
          <w:bCs/>
          <w:b/>
        </w:rPr>
        <w:t xml:space="preserve">For the Client (Grupo Mediterráneo Industrial, S.L.):</w:t>
      </w:r>
      <w:r>
        <w:br/>
      </w:r>
      <w:r>
        <w:br/>
      </w:r>
      <w:r>
        <w:t xml:space="preserve">________________________________</w:t>
      </w:r>
      <w:r>
        <w:br/>
      </w:r>
      <w:r>
        <w:t xml:space="preserve">Sra. Carmen Llopis</w:t>
      </w:r>
      <w:r>
        <w:br/>
      </w:r>
      <w:r>
        <w:t xml:space="preserve">Chief Financial Officer</w:t>
      </w:r>
      <w:r>
        <w:br/>
      </w:r>
      <w:r>
        <w:t xml:space="preserve">Date: _______________</w:t>
      </w:r>
    </w:p>
    <w:p>
      <w:pPr>
        <w:pStyle w:val="BodyText"/>
      </w:pPr>
      <w:r>
        <w:t xml:space="preserve">This Quotation Estimate (Ref. QTE-VAL-2025-0487) was prepared by a licensed Banker operating in Spain Valencia.</w:t>
      </w:r>
      <w:r>
        <w:t xml:space="preserve"> </w:t>
      </w:r>
      <w:r>
        <w:t xml:space="preserve">Document generated in accordance with the professional standards of the Valencian financial services sector.</w:t>
      </w:r>
      <w:r>
        <w:br/>
      </w:r>
      <w:r>
        <w:t xml:space="preserve">© 2025 Ferrán Soler Financial Advisory, S.L. — C/ Colón 42, 4ºB, 46004 Valencia, Spain — NIF: B-46991027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Spain Valencia</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