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Banker Services &amp; Banking Infrastructure Deployment</w:t>
      </w:r>
    </w:p>
    <w:p>
      <w:pPr>
        <w:pStyle w:val="BodyText"/>
      </w:pPr>
      <w:r>
        <w:t xml:space="preserve">Reference No: QE-SUD-KRT-2025-0472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 from date of issue)</w:t>
            </w:r>
          </w:p>
        </w:tc>
      </w:tr>
      <w:tr>
        <w:tc>
          <w:tcPr/>
          <w:p>
            <w:pPr>
              <w:pStyle w:val="Compact"/>
              <w:jc w:val="left"/>
            </w:pPr>
            <w:r>
              <w:t xml:space="preserve">Prepared For:</w:t>
            </w:r>
          </w:p>
        </w:tc>
        <w:tc>
          <w:tcPr/>
          <w:p>
            <w:pPr>
              <w:pStyle w:val="Compact"/>
              <w:jc w:val="left"/>
            </w:pPr>
            <w:r>
              <w:t xml:space="preserve">Nile Valley Commercial Bank, Head Office, Al-Murrah Street, Khartoum, Sudan</w:t>
            </w:r>
          </w:p>
        </w:tc>
      </w:tr>
      <w:tr>
        <w:tc>
          <w:tcPr/>
          <w:p>
            <w:pPr>
              <w:pStyle w:val="Compact"/>
              <w:jc w:val="left"/>
            </w:pPr>
            <w:r>
              <w:t xml:space="preserve">Prepared By:</w:t>
            </w:r>
          </w:p>
        </w:tc>
        <w:tc>
          <w:tcPr/>
          <w:p>
            <w:pPr>
              <w:pStyle w:val="Compact"/>
              <w:jc w:val="left"/>
            </w:pPr>
            <w:r>
              <w:t xml:space="preserve">Meridian Financial Solutions Ltd., 42 Bankers Row, London, United Kingdom</w:t>
            </w:r>
          </w:p>
        </w:tc>
      </w:tr>
      <w:tr>
        <w:tc>
          <w:tcPr/>
          <w:p>
            <w:pPr>
              <w:pStyle w:val="Compact"/>
              <w:jc w:val="left"/>
            </w:pPr>
            <w:r>
              <w:t xml:space="preserve">Project Location:</w:t>
            </w:r>
          </w:p>
        </w:tc>
        <w:tc>
          <w:tcPr/>
          <w:p>
            <w:pPr>
              <w:pStyle w:val="Compact"/>
              <w:jc w:val="left"/>
            </w:pPr>
            <w:r>
              <w:t xml:space="preserve">Sudan Khartoum – Primary Banking District, Omdurman &amp; Khartoum North Branches</w:t>
            </w:r>
          </w:p>
        </w:tc>
      </w:tr>
      <w:tr>
        <w:tc>
          <w:tcPr/>
          <w:p>
            <w:pPr>
              <w:pStyle w:val="Compact"/>
              <w:jc w:val="left"/>
            </w:pPr>
            <w:r>
              <w:t xml:space="preserve">Currency:</w:t>
            </w:r>
          </w:p>
        </w:tc>
        <w:tc>
          <w:tcPr/>
          <w:p>
            <w:pPr>
              <w:pStyle w:val="Compact"/>
              <w:jc w:val="left"/>
            </w:pPr>
            <w:r>
              <w:t xml:space="preserve">British Pounds Sterling (GBP) / Sudanese Pounds (SDG) at prevailing Central Bank of Sudan rate</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to Nile Valley Commercial Bank for the comprehensive provision of</w:t>
      </w:r>
      <w:r>
        <w:t xml:space="preserve"> </w:t>
      </w:r>
      <w:r>
        <w:t xml:space="preserve">Banker</w:t>
      </w:r>
      <w:r>
        <w:t xml:space="preserve"> </w:t>
      </w:r>
      <w:r>
        <w:t xml:space="preserve">services, banking workstation infrastructure, and operational support to be deployed across the primary financial district of</w:t>
      </w:r>
      <w:r>
        <w:t xml:space="preserve"> </w:t>
      </w:r>
      <w:r>
        <w:t xml:space="preserve">Sudan Khartoum</w:t>
      </w:r>
      <w:r>
        <w:t xml:space="preserve">. The scope encompasses the supply, installation, configuration, and ongoing maintenance of a fully integrated banking environment designed to meet the regulatory standards set forth by the Central Bank of Sudan (CBS) and the Sudanese Financial Supervisory Authority.</w:t>
      </w:r>
    </w:p>
    <w:p>
      <w:pPr>
        <w:pStyle w:val="BodyText"/>
      </w:pPr>
      <w:r>
        <w:t xml:space="preserve">The</w:t>
      </w:r>
      <w:r>
        <w:t xml:space="preserve"> </w:t>
      </w:r>
      <w:r>
        <w:t xml:space="preserve">Banker</w:t>
      </w:r>
      <w:r>
        <w:t xml:space="preserve"> </w:t>
      </w:r>
      <w:r>
        <w:t xml:space="preserve">service package outlined herein is specifically tailored to the operational requirements of financial institutions operating within the Khartoum metropolitan area, taking into account the unique logistical, climatic, and regulatory conditions prevalent in</w:t>
      </w:r>
      <w:r>
        <w:t xml:space="preserve"> </w:t>
      </w:r>
      <w:r>
        <w:t xml:space="preserve">Sudan Khartoum</w:t>
      </w:r>
      <w:r>
        <w:t xml:space="preserve">. All pricing reflects current market conditions, import duties applicable to the Republic of Sudan, and the specialized expertise required to deliver banking-grade solutions in this region.</w:t>
      </w:r>
    </w:p>
    <w:bookmarkEnd w:id="21"/>
    <w:bookmarkStart w:id="22" w:name="X50b7a109117d850b72ab108db3454d3769ea60d"/>
    <w:p>
      <w:pPr>
        <w:pStyle w:val="Heading2"/>
      </w:pPr>
      <w:r>
        <w:t xml:space="preserve">2. Scope of Work – Banker Services &amp; Infrastructure</w:t>
      </w:r>
    </w:p>
    <w:p>
      <w:pPr>
        <w:pStyle w:val="FirstParagraph"/>
      </w:pPr>
      <w:r>
        <w:t xml:space="preserve">The following items constitute the complete</w:t>
      </w:r>
      <w:r>
        <w:t xml:space="preserve"> </w:t>
      </w:r>
      <w:r>
        <w:t xml:space="preserve">Quotation Estimate</w:t>
      </w:r>
      <w:r>
        <w:t xml:space="preserve"> </w:t>
      </w:r>
      <w:r>
        <w:t xml:space="preserve">for the</w:t>
      </w:r>
      <w:r>
        <w:t xml:space="preserve"> </w:t>
      </w:r>
      <w:r>
        <w:t xml:space="preserve">Banker</w:t>
      </w:r>
      <w:r>
        <w:t xml:space="preserve"> </w:t>
      </w:r>
      <w:r>
        <w:t xml:space="preserve">deployment project in</w:t>
      </w:r>
      <w:r>
        <w:t xml:space="preserve"> </w:t>
      </w:r>
      <w:r>
        <w:t xml:space="preserve">Sudan Khartoum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Banker Service / Item</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Banker Consultant – On-site deployment for system architecture design, CBS compliance mapping, and operational workflow optimization for the Khartoum head office</w:t>
            </w:r>
          </w:p>
        </w:tc>
        <w:tc>
          <w:tcPr/>
          <w:p>
            <w:pPr>
              <w:pStyle w:val="Compact"/>
              <w:jc w:val="left"/>
            </w:pPr>
            <w:r>
              <w:t xml:space="preserve">2 (persons)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Banker Workstation Suite – Industrial-grade terminals (dual-monitor, biometric authentication, tamper-resistant enclosures) rated for high-temperature operation in Sudan Khartoum climate</w:t>
            </w:r>
          </w:p>
        </w:tc>
        <w:tc>
          <w:tcPr/>
          <w:p>
            <w:pPr>
              <w:pStyle w:val="Compact"/>
              <w:jc w:val="left"/>
            </w:pPr>
            <w:r>
              <w:t xml:space="preserve">48 (units)</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Banker Core Banking Software License – Multi-branch deployment with Arabic/English bilingual interface, CBS reporting modules, and real-time interbank settlement connectivity</w:t>
            </w:r>
          </w:p>
        </w:tc>
        <w:tc>
          <w:tcPr/>
          <w:p>
            <w:pPr>
              <w:pStyle w:val="Compact"/>
              <w:jc w:val="left"/>
            </w:pPr>
            <w:r>
              <w:t xml:space="preserve">1 (license)</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04</w:t>
            </w:r>
          </w:p>
        </w:tc>
        <w:tc>
          <w:tcPr/>
          <w:p>
            <w:pPr>
              <w:pStyle w:val="Compact"/>
              <w:jc w:val="left"/>
            </w:pPr>
            <w:r>
              <w:t xml:space="preserve">Banker Security &amp; Surveillance Package – CCTV integration, vault access control, anti-fraud transaction monitoring, and data encryption (AES-256) compliant with Sudanese data protection regulations</w:t>
            </w:r>
          </w:p>
        </w:tc>
        <w:tc>
          <w:tcPr/>
          <w:p>
            <w:pPr>
              <w:pStyle w:val="Compact"/>
              <w:jc w:val="left"/>
            </w:pPr>
            <w:r>
              <w:t xml:space="preserve">3 (branches)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05</w:t>
            </w:r>
          </w:p>
        </w:tc>
        <w:tc>
          <w:tcPr/>
          <w:p>
            <w:pPr>
              <w:pStyle w:val="Compact"/>
              <w:jc w:val="left"/>
            </w:pPr>
            <w:r>
              <w:t xml:space="preserve">Banker Training Programme – 6-week intensive training for 120 bank staff in Khartoum covering core banking operations, compliance, cybersecurity, and customer service protocols</w:t>
            </w:r>
          </w:p>
        </w:tc>
        <w:tc>
          <w:tcPr/>
          <w:p>
            <w:pPr>
              <w:pStyle w:val="Compact"/>
              <w:jc w:val="left"/>
            </w:pPr>
            <w:r>
              <w:t xml:space="preserve">1 (programme)</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06</w:t>
            </w:r>
          </w:p>
        </w:tc>
        <w:tc>
          <w:tcPr/>
          <w:p>
            <w:pPr>
              <w:pStyle w:val="Compact"/>
              <w:jc w:val="left"/>
            </w:pPr>
            <w:r>
              <w:t xml:space="preserve">Banker Network Infrastructure – Fiber-optic backbone, redundant internet links (satellite + terrestrial), UPS power systems (200kVA per branch), and climate-controlled server rooms for Sudan Khartoum conditions</w:t>
            </w:r>
          </w:p>
        </w:tc>
        <w:tc>
          <w:tcPr/>
          <w:p>
            <w:pPr>
              <w:pStyle w:val="Compact"/>
              <w:jc w:val="left"/>
            </w:pPr>
            <w:r>
              <w:t xml:space="preserve">3 (branches)</w:t>
            </w:r>
          </w:p>
        </w:tc>
        <w:tc>
          <w:tcPr/>
          <w:p>
            <w:pPr>
              <w:pStyle w:val="Compact"/>
              <w:jc w:val="left"/>
            </w:pPr>
            <w:r>
              <w:t xml:space="preserve">£55,000.00</w:t>
            </w:r>
          </w:p>
        </w:tc>
        <w:tc>
          <w:tcPr/>
          <w:p>
            <w:pPr>
              <w:pStyle w:val="Compact"/>
              <w:jc w:val="left"/>
            </w:pPr>
            <w:r>
              <w:t xml:space="preserve">£165,000.00</w:t>
            </w:r>
          </w:p>
        </w:tc>
      </w:tr>
      <w:tr>
        <w:tc>
          <w:tcPr/>
          <w:p>
            <w:pPr>
              <w:pStyle w:val="Compact"/>
              <w:jc w:val="left"/>
            </w:pPr>
            <w:r>
              <w:t xml:space="preserve">07</w:t>
            </w:r>
          </w:p>
        </w:tc>
        <w:tc>
          <w:tcPr/>
          <w:p>
            <w:pPr>
              <w:pStyle w:val="Compact"/>
              <w:jc w:val="left"/>
            </w:pPr>
            <w:r>
              <w:t xml:space="preserve">Banker Ongoing Support &amp; Maintenance – 24/7 remote and on-site technical support, quarterly system audits, software updates, and regulatory compliance reviews for a period of 36 months</w:t>
            </w:r>
          </w:p>
        </w:tc>
        <w:tc>
          <w:tcPr/>
          <w:p>
            <w:pPr>
              <w:pStyle w:val="Compact"/>
              <w:jc w:val="left"/>
            </w:pPr>
            <w:r>
              <w:t xml:space="preserve">3 (years)</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08</w:t>
            </w:r>
          </w:p>
        </w:tc>
        <w:tc>
          <w:tcPr/>
          <w:p>
            <w:pPr>
              <w:pStyle w:val="Compact"/>
              <w:jc w:val="left"/>
            </w:pPr>
            <w:r>
              <w:t xml:space="preserve">Banker Logistics &amp; Import Services – Shipping, customs clearance, duty payment, and last-mile delivery of all hardware to designated locations in Khartoum, Omdurman, and Khartoum North</w:t>
            </w:r>
          </w:p>
        </w:tc>
        <w:tc>
          <w:tcPr/>
          <w:p>
            <w:pPr>
              <w:pStyle w:val="Compact"/>
              <w:jc w:val="left"/>
            </w:pPr>
            <w:r>
              <w:t xml:space="preserve">1 (package)</w:t>
            </w:r>
          </w:p>
        </w:tc>
        <w:tc>
          <w:tcPr/>
          <w:p>
            <w:pPr>
              <w:pStyle w:val="Compact"/>
              <w:jc w:val="left"/>
            </w:pPr>
            <w:r>
              <w:t xml:space="preserve">£22,500.00</w:t>
            </w:r>
          </w:p>
        </w:tc>
        <w:tc>
          <w:tcPr/>
          <w:p>
            <w:pPr>
              <w:pStyle w:val="Compact"/>
              <w:jc w:val="left"/>
            </w:pPr>
            <w:r>
              <w:t xml:space="preserve">£22,500.00</w:t>
            </w:r>
          </w:p>
        </w:tc>
      </w:tr>
      <w:tr>
        <w:tc>
          <w:tcPr>
            <w:gridSpan w:val="4"/>
          </w:tcPr>
          <w:p>
            <w:pPr>
              <w:pStyle w:val="Compact"/>
              <w:jc w:val="right"/>
            </w:pPr>
            <w:r>
              <w:t xml:space="preserve">SUBTOTAL</w:t>
            </w:r>
          </w:p>
        </w:tc>
        <w:tc>
          <w:tcPr/>
          <w:p>
            <w:pPr>
              <w:pStyle w:val="Compact"/>
              <w:jc w:val="left"/>
            </w:pPr>
            <w:r>
              <w:t xml:space="preserve">£931,100.00</w:t>
            </w:r>
          </w:p>
        </w:tc>
      </w:tr>
      <w:tr>
        <w:tc>
          <w:tcPr>
            <w:gridSpan w:val="4"/>
          </w:tcPr>
          <w:p>
            <w:pPr>
              <w:pStyle w:val="Compact"/>
              <w:jc w:val="right"/>
            </w:pPr>
            <w:r>
              <w:t xml:space="preserve">VAT / Applicable Sudanese Taxes (15%)</w:t>
            </w:r>
          </w:p>
        </w:tc>
        <w:tc>
          <w:tcPr/>
          <w:p>
            <w:pPr>
              <w:pStyle w:val="Compact"/>
              <w:jc w:val="left"/>
            </w:pPr>
            <w:r>
              <w:t xml:space="preserve">£139,665.00</w:t>
            </w:r>
          </w:p>
        </w:tc>
      </w:tr>
      <w:tr>
        <w:tc>
          <w:tcPr>
            <w:gridSpan w:val="4"/>
          </w:tcPr>
          <w:p>
            <w:pPr>
              <w:pStyle w:val="Compact"/>
              <w:jc w:val="right"/>
            </w:pPr>
            <w:r>
              <w:t xml:space="preserve">GRAND TOTAL</w:t>
            </w:r>
          </w:p>
        </w:tc>
        <w:tc>
          <w:tcPr/>
          <w:p>
            <w:pPr>
              <w:pStyle w:val="Compact"/>
              <w:jc w:val="left"/>
            </w:pPr>
            <w:r>
              <w:t xml:space="preserve">£1,070,765.00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ninety (90) calendar days from the date of issue. Thereafter, pricing may be subject to revision based on fluctuations in the GBP/SDG exchange rate as published by the Central Bank of Sudan, changes in import duty structures, or shifts in global hardware procurement costs.</w:t>
      </w:r>
    </w:p>
    <w:p>
      <w:pPr>
        <w:pStyle w:val="BodyText"/>
      </w:pPr>
      <w:r>
        <w:rPr>
          <w:bCs/>
          <w:b/>
        </w:rPr>
        <w:t xml:space="preserve">3.2 Payment Terms:</w:t>
      </w:r>
      <w:r>
        <w:t xml:space="preserve"> </w:t>
      </w:r>
      <w:r>
        <w:t xml:space="preserve">A non-refundable deposit of 30% of the Grand Total shall be due upon acceptance of this Quotation Estimate. A further 40% shall be payable upon successful delivery and installation of all Banker hardware and software components at the designated Sudan Khartoum sites. The remaining 30% shall be due upon completion of the full training programme and a 30-day post-deployment stability period.</w:t>
      </w:r>
    </w:p>
    <w:p>
      <w:pPr>
        <w:pStyle w:val="BodyText"/>
      </w:pPr>
      <w:r>
        <w:rPr>
          <w:bCs/>
          <w:b/>
        </w:rPr>
        <w:t xml:space="preserve">3.3 Delivery Timeline:</w:t>
      </w:r>
      <w:r>
        <w:t xml:space="preserve"> </w:t>
      </w:r>
      <w:r>
        <w:t xml:space="preserve">Full deployment of the Banker infrastructure across all three branches in Sudan Khartoum is estimated at fourteen (14) weeks from the date of contract execution, subject to customs clearance timelines at Port Sudan and availability of specialized personnel.</w:t>
      </w:r>
    </w:p>
    <w:p>
      <w:pPr>
        <w:pStyle w:val="BodyText"/>
      </w:pPr>
      <w:r>
        <w:rPr>
          <w:bCs/>
          <w:b/>
        </w:rPr>
        <w:t xml:space="preserve">3.4 Regulatory Compliance:</w:t>
      </w:r>
      <w:r>
        <w:t xml:space="preserve"> </w:t>
      </w:r>
      <w:r>
        <w:t xml:space="preserve">All Banker services and systems shall be fully compliant with the Banking Act of Sudan (2000, as amended), Central Bank of Sudan directives on electronic banking, and the Sudanese National Cybersecurity Strategy. The vendor assumes responsibility for obtaining all necessary regulatory approvals prior to go-live.</w:t>
      </w:r>
    </w:p>
    <w:p>
      <w:pPr>
        <w:pStyle w:val="BodyText"/>
      </w:pPr>
      <w:r>
        <w:rPr>
          <w:bCs/>
          <w:b/>
        </w:rPr>
        <w:t xml:space="preserve">3.5 Force Majeure:</w:t>
      </w:r>
      <w:r>
        <w:t xml:space="preserve"> </w:t>
      </w:r>
      <w:r>
        <w:t xml:space="preserve">Neither party shall be liable for delays or failures in performance resulting from events beyond reasonable control, including but not limited to political instability, sanctions changes, natural disasters, or disruptions to shipping routes affecting the Sudan Khartoum region.</w:t>
      </w:r>
    </w:p>
    <w:p>
      <w:pPr>
        <w:pStyle w:val="BodyText"/>
      </w:pPr>
      <w:r>
        <w:rPr>
          <w:bCs/>
          <w:b/>
        </w:rPr>
        <w:t xml:space="preserve">3.6 Governing Law:</w:t>
      </w:r>
      <w:r>
        <w:t xml:space="preserve"> </w:t>
      </w:r>
      <w:r>
        <w:t xml:space="preserve">This Quotation Estimate and any resulting contract shall be governed by and construed in accordance with the laws of the Republic of Sudan, with disputes to be resolved through arbitration in Khartoum under the rules of the Sudanese Arbitration Centre.</w:t>
      </w:r>
    </w:p>
    <w:p>
      <w:pPr>
        <w:pStyle w:val="BodyText"/>
      </w:pPr>
      <w:r>
        <w:rPr>
          <w:bCs/>
          <w:b/>
        </w:rPr>
        <w:t xml:space="preserve">Important Note:</w:t>
      </w:r>
      <w:r>
        <w:t xml:space="preserve"> </w:t>
      </w:r>
      <w:r>
        <w:t xml:space="preserve">All Banker hardware items specified in this Quotation Estimate are rated for sustained operation in ambient temperatures of 35°C to 50°C, consistent with the climatic conditions experienced in Sudan Khartoum during the summer months (June through September). Dust filtration and humidity control systems are included as standard in all workstation and server room specifications.</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and accept the terms, conditions, and pricing set forth in this Quotation Estimate for the Banker services and infrastructure deployment in Sudan Khartoum.</w:t>
      </w:r>
    </w:p>
    <w:p>
      <w:pPr>
        <w:pStyle w:val="BodyText"/>
      </w:pPr>
      <w:r>
        <w:rPr>
          <w:bCs/>
          <w:b/>
        </w:rPr>
        <w:t xml:space="preserve">For Nile Valley Commercial Bank</w:t>
      </w:r>
      <w:r>
        <w:br/>
      </w:r>
      <w:r>
        <w:t xml:space="preserve">Authorized Signatory – Khartoum, Sudan</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Meridian Financial Solutions Ltd.</w:t>
      </w:r>
      <w:r>
        <w:br/>
      </w:r>
      <w:r>
        <w:t xml:space="preserve">Authorized Signatory – London, UK</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Ref: QE-SUD-KRT-2025-0472 | Page 1 of 1</w:t>
      </w:r>
    </w:p>
    <w:p>
      <w:pPr>
        <w:pStyle w:val="BodyText"/>
      </w:pPr>
      <w:r>
        <w:t xml:space="preserve">Meridian Financial Solutions Ltd. | Registered in England &amp; Wales No. 08765432 | VAT No. GB 123 4567 89</w:t>
      </w:r>
    </w:p>
    <w:p>
      <w:pPr>
        <w:pStyle w:val="BodyText"/>
      </w:pPr>
      <w:r>
        <w:t xml:space="preserve">This document is confidential and intended solely for the named recipient. Unauthorized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Sudan Khartoum</dc:title>
  <dc:creator/>
  <dc:language>en</dc:language>
  <cp:keywords/>
  <dcterms:created xsi:type="dcterms:W3CDTF">2026-10-10T10:54:49Z</dcterms:created>
  <dcterms:modified xsi:type="dcterms:W3CDTF">2026-10-10T10:54:49Z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