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Switzerland</w:t>
      </w:r>
      <w:r>
        <w:t xml:space="preserve"> </w:t>
      </w:r>
      <w:r>
        <w:t xml:space="preserve">Zurich</w:t>
      </w:r>
    </w:p>
    <w:p>
      <w:pPr>
        <w:pStyle w:val="FirstParagraph"/>
      </w:pPr>
      <w:r>
        <w:t xml:space="preserve">OFFICIAL QUOTATION ESTIMATE</w:t>
      </w:r>
    </w:p>
    <w:bookmarkStart w:id="20" w:name="quotation-estimate"/>
    <w:p>
      <w:pPr>
        <w:pStyle w:val="Heading1"/>
      </w:pPr>
      <w:r>
        <w:t xml:space="preserve">QUOTATION ESTIMATE</w:t>
      </w:r>
    </w:p>
    <w:p>
      <w:pPr>
        <w:pStyle w:val="FirstParagraph"/>
      </w:pPr>
      <w:r>
        <w:t xml:space="preserve">Professional Banker Services — Switzerland Zurich</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QTE-ZRH-2025-04871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calendar days)</w:t>
            </w:r>
          </w:p>
        </w:tc>
      </w:tr>
      <w:tr>
        <w:tc>
          <w:tcPr/>
          <w:p>
            <w:pPr>
              <w:pStyle w:val="Compact"/>
              <w:jc w:val="left"/>
            </w:pPr>
            <w:r>
              <w:t xml:space="preserve">Prepared By:</w:t>
            </w:r>
          </w:p>
        </w:tc>
        <w:tc>
          <w:tcPr/>
          <w:p>
            <w:pPr>
              <w:pStyle w:val="Compact"/>
              <w:jc w:val="left"/>
            </w:pPr>
            <w:r>
              <w:t xml:space="preserve">Dr. Heinrich Vogel, Senior Banker &amp; Financial Advisor</w:t>
            </w:r>
          </w:p>
        </w:tc>
      </w:tr>
      <w:tr>
        <w:tc>
          <w:tcPr/>
          <w:p>
            <w:pPr>
              <w:pStyle w:val="Compact"/>
              <w:jc w:val="left"/>
            </w:pPr>
            <w:r>
              <w:t xml:space="preserve">Firm:</w:t>
            </w:r>
          </w:p>
        </w:tc>
        <w:tc>
          <w:tcPr/>
          <w:p>
            <w:pPr>
              <w:pStyle w:val="Compact"/>
              <w:jc w:val="left"/>
            </w:pPr>
            <w:r>
              <w:t xml:space="preserve">Vogel &amp; Partner Bank AG, Bahnhofstrasse 42, 8001 Zurich, Switzerland</w:t>
            </w:r>
          </w:p>
        </w:tc>
      </w:tr>
      <w:tr>
        <w:tc>
          <w:tcPr/>
          <w:p>
            <w:pPr>
              <w:pStyle w:val="Compact"/>
              <w:jc w:val="left"/>
            </w:pPr>
            <w:r>
              <w:t xml:space="preserve">Client Name:</w:t>
            </w:r>
          </w:p>
        </w:tc>
        <w:tc>
          <w:tcPr/>
          <w:p>
            <w:pPr>
              <w:pStyle w:val="Compact"/>
              <w:jc w:val="left"/>
            </w:pPr>
            <w:r>
              <w:t xml:space="preserve">Mr. Jonathan A. Whitfield</w:t>
            </w:r>
          </w:p>
        </w:tc>
      </w:tr>
      <w:tr>
        <w:tc>
          <w:tcPr/>
          <w:p>
            <w:pPr>
              <w:pStyle w:val="Compact"/>
              <w:jc w:val="left"/>
            </w:pPr>
            <w:r>
              <w:t xml:space="preserve">Client Address:</w:t>
            </w:r>
          </w:p>
        </w:tc>
        <w:tc>
          <w:tcPr/>
          <w:p>
            <w:pPr>
              <w:pStyle w:val="Compact"/>
              <w:jc w:val="left"/>
            </w:pPr>
            <w:r>
              <w:t xml:space="preserve">Kreuzbühlstrasse 18, 8004 Zurich, Switzerland</w:t>
            </w:r>
          </w:p>
        </w:tc>
      </w:tr>
      <w:tr>
        <w:tc>
          <w:tcPr/>
          <w:p>
            <w:pPr>
              <w:pStyle w:val="Compact"/>
              <w:jc w:val="left"/>
            </w:pPr>
            <w:r>
              <w:t xml:space="preserve">Client Reference:</w:t>
            </w:r>
          </w:p>
        </w:tc>
        <w:tc>
          <w:tcPr/>
          <w:p>
            <w:pPr>
              <w:pStyle w:val="Compact"/>
              <w:jc w:val="left"/>
            </w:pPr>
            <w:r>
              <w:t xml:space="preserve">CL-2025-00932</w:t>
            </w:r>
          </w:p>
        </w:tc>
      </w:tr>
      <w:tr>
        <w:tc>
          <w:tcPr/>
          <w:p>
            <w:pPr>
              <w:pStyle w:val="Compact"/>
              <w:jc w:val="left"/>
            </w:pPr>
            <w:r>
              <w:t xml:space="preserve">Currency:</w:t>
            </w:r>
          </w:p>
        </w:tc>
        <w:tc>
          <w:tcPr/>
          <w:p>
            <w:pPr>
              <w:pStyle w:val="Compact"/>
              <w:jc w:val="left"/>
            </w:pPr>
            <w:r>
              <w:t xml:space="preserve">Swiss Franc (CHF)</w:t>
            </w:r>
          </w:p>
        </w:tc>
      </w:tr>
    </w:tbl>
    <w:bookmarkStart w:id="21" w:name="scope-of-banker-services"/>
    <w:p>
      <w:pPr>
        <w:pStyle w:val="Heading2"/>
      </w:pPr>
      <w:r>
        <w:t xml:space="preserve">1. Scope of Banker Services</w:t>
      </w:r>
    </w:p>
    <w:p>
      <w:pPr>
        <w:pStyle w:val="FirstParagraph"/>
      </w:pPr>
      <w:r>
        <w:t xml:space="preserve">This Quotation Estimate is issued by Vogel &amp; Partner Bank AG, a licensed banking institution headquartered in the financial district of Switzerland Zurich, to provide a comprehensive and transparent cost breakdown for the professional services of a dedicated Banker assigned to the client's private and corporate portfolio. The services outlined below reflect the full scope of advisory, transactional, and fiduciary responsibilities that the designated Banker will undertake on behalf of the client within the jurisdiction of the Canton of Zurich and the broader Swiss financial framework.</w:t>
      </w:r>
    </w:p>
    <w:bookmarkEnd w:id="21"/>
    <w:bookmarkStart w:id="22" w:name="itemized-service-breakdown"/>
    <w:p>
      <w:pPr>
        <w:pStyle w:val="Heading2"/>
      </w:pPr>
      <w:r>
        <w:t xml:space="preserve">2. Itemized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Rate (CHF)</w:t>
            </w:r>
          </w:p>
        </w:tc>
        <w:tc>
          <w:tcPr/>
          <w:p>
            <w:pPr>
              <w:pStyle w:val="Compact"/>
              <w:jc w:val="left"/>
            </w:pPr>
            <w:r>
              <w:t xml:space="preserve">Estimated Annual Cost (CHF)</w:t>
            </w:r>
          </w:p>
        </w:tc>
      </w:tr>
      <w:tr>
        <w:tc>
          <w:tcPr/>
          <w:p>
            <w:pPr>
              <w:pStyle w:val="Compact"/>
              <w:jc w:val="left"/>
            </w:pPr>
            <w:r>
              <w:t xml:space="preserve">1</w:t>
            </w:r>
          </w:p>
        </w:tc>
        <w:tc>
          <w:tcPr/>
          <w:p>
            <w:pPr>
              <w:pStyle w:val="Compact"/>
              <w:jc w:val="left"/>
            </w:pPr>
            <w:r>
              <w:t xml:space="preserve">Dedicated Banker Assignment &amp; Portfolio Onboarding in Switzerland Zurich</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Personalized Wealth Management &amp; Investment Advisory (Banker-led)</w:t>
            </w:r>
          </w:p>
        </w:tc>
        <w:tc>
          <w:tcPr/>
          <w:p>
            <w:pPr>
              <w:pStyle w:val="Compact"/>
              <w:jc w:val="left"/>
            </w:pPr>
            <w:r>
              <w:t xml:space="preserve">Monthly</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3</w:t>
            </w:r>
          </w:p>
        </w:tc>
        <w:tc>
          <w:tcPr/>
          <w:p>
            <w:pPr>
              <w:pStyle w:val="Compact"/>
              <w:jc w:val="left"/>
            </w:pPr>
            <w:r>
              <w:t xml:space="preserve">Corporate Banking Operations &amp; Trade Finance Coordination</w:t>
            </w:r>
          </w:p>
        </w:tc>
        <w:tc>
          <w:tcPr/>
          <w:p>
            <w:pPr>
              <w:pStyle w:val="Compact"/>
              <w:jc w:val="left"/>
            </w:pPr>
            <w:r>
              <w:t xml:space="preserve">Quarterly</w:t>
            </w:r>
          </w:p>
        </w:tc>
        <w:tc>
          <w:tcPr/>
          <w:p>
            <w:pPr>
              <w:pStyle w:val="Compact"/>
              <w:jc w:val="left"/>
            </w:pPr>
            <w:r>
              <w:t xml:space="preserve">6,200.00</w:t>
            </w:r>
          </w:p>
        </w:tc>
        <w:tc>
          <w:tcPr/>
          <w:p>
            <w:pPr>
              <w:pStyle w:val="Compact"/>
              <w:jc w:val="left"/>
            </w:pPr>
            <w:r>
              <w:t xml:space="preserve">24,800.00</w:t>
            </w:r>
          </w:p>
        </w:tc>
      </w:tr>
      <w:tr>
        <w:tc>
          <w:tcPr/>
          <w:p>
            <w:pPr>
              <w:pStyle w:val="Compact"/>
              <w:jc w:val="left"/>
            </w:pPr>
            <w:r>
              <w:t xml:space="preserve">4</w:t>
            </w:r>
          </w:p>
        </w:tc>
        <w:tc>
          <w:tcPr/>
          <w:p>
            <w:pPr>
              <w:pStyle w:val="Compact"/>
              <w:jc w:val="left"/>
            </w:pPr>
            <w:r>
              <w:t xml:space="preserve">Tax Optimization &amp; Swiss Regulatory Compliance Review (FINMA-aligned)</w:t>
            </w:r>
          </w:p>
        </w:tc>
        <w:tc>
          <w:tcPr/>
          <w:p>
            <w:pPr>
              <w:pStyle w:val="Compact"/>
              <w:jc w:val="left"/>
            </w:pPr>
            <w:r>
              <w:t xml:space="preserve">Bi-annual</w:t>
            </w:r>
          </w:p>
        </w:tc>
        <w:tc>
          <w:tcPr/>
          <w:p>
            <w:pPr>
              <w:pStyle w:val="Compact"/>
              <w:jc w:val="left"/>
            </w:pPr>
            <w:r>
              <w:t xml:space="preserve">5,400.00</w:t>
            </w:r>
          </w:p>
        </w:tc>
        <w:tc>
          <w:tcPr/>
          <w:p>
            <w:pPr>
              <w:pStyle w:val="Compact"/>
              <w:jc w:val="left"/>
            </w:pPr>
            <w:r>
              <w:t xml:space="preserve">10,800.00</w:t>
            </w:r>
          </w:p>
        </w:tc>
      </w:tr>
      <w:tr>
        <w:tc>
          <w:tcPr/>
          <w:p>
            <w:pPr>
              <w:pStyle w:val="Compact"/>
              <w:jc w:val="left"/>
            </w:pPr>
            <w:r>
              <w:t xml:space="preserve">5</w:t>
            </w:r>
          </w:p>
        </w:tc>
        <w:tc>
          <w:tcPr/>
          <w:p>
            <w:pPr>
              <w:pStyle w:val="Compact"/>
              <w:jc w:val="left"/>
            </w:pPr>
            <w:r>
              <w:t xml:space="preserve">Real Estate Financing &amp; Mortgage Advisory within Zurich Canton</w:t>
            </w:r>
          </w:p>
        </w:tc>
        <w:tc>
          <w:tcPr/>
          <w:p>
            <w:pPr>
              <w:pStyle w:val="Compact"/>
              <w:jc w:val="left"/>
            </w:pPr>
            <w:r>
              <w:t xml:space="preserve">As required</w:t>
            </w:r>
          </w:p>
        </w:tc>
        <w:tc>
          <w:tcPr/>
          <w:p>
            <w:pPr>
              <w:pStyle w:val="Compact"/>
              <w:jc w:val="left"/>
            </w:pPr>
            <w:r>
              <w:t xml:space="preserve">3,900.00</w:t>
            </w:r>
          </w:p>
        </w:tc>
        <w:tc>
          <w:tcPr/>
          <w:p>
            <w:pPr>
              <w:pStyle w:val="Compact"/>
              <w:jc w:val="left"/>
            </w:pPr>
            <w:r>
              <w:t xml:space="preserve">7,800.00</w:t>
            </w:r>
          </w:p>
        </w:tc>
      </w:tr>
      <w:tr>
        <w:tc>
          <w:tcPr/>
          <w:p>
            <w:pPr>
              <w:pStyle w:val="Compact"/>
              <w:jc w:val="left"/>
            </w:pPr>
            <w:r>
              <w:t xml:space="preserve">6</w:t>
            </w:r>
          </w:p>
        </w:tc>
        <w:tc>
          <w:tcPr/>
          <w:p>
            <w:pPr>
              <w:pStyle w:val="Compact"/>
              <w:jc w:val="left"/>
            </w:pPr>
            <w:r>
              <w:t xml:space="preserve">Succession Planning &amp; Estate Structuring (Swiss Civil Code compliant)</w:t>
            </w:r>
          </w:p>
        </w:tc>
        <w:tc>
          <w:tcPr/>
          <w:p>
            <w:pPr>
              <w:pStyle w:val="Compact"/>
              <w:jc w:val="left"/>
            </w:pPr>
            <w:r>
              <w:t xml:space="preserve">Annual</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7</w:t>
            </w:r>
          </w:p>
        </w:tc>
        <w:tc>
          <w:tcPr/>
          <w:p>
            <w:pPr>
              <w:pStyle w:val="Compact"/>
              <w:jc w:val="left"/>
            </w:pPr>
            <w:r>
              <w:t xml:space="preserve">24/7 Priority Access to Banker via Secure Digital Channel</w:t>
            </w:r>
          </w:p>
        </w:tc>
        <w:tc>
          <w:tcPr/>
          <w:p>
            <w:pPr>
              <w:pStyle w:val="Compact"/>
              <w:jc w:val="left"/>
            </w:pPr>
            <w:r>
              <w:t xml:space="preserve">Continuous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8</w:t>
            </w:r>
          </w:p>
        </w:tc>
        <w:tc>
          <w:tcPr/>
          <w:p>
            <w:pPr>
              <w:pStyle w:val="Compact"/>
              <w:jc w:val="left"/>
            </w:pPr>
            <w:r>
              <w:t xml:space="preserve">Quarterly In-Person Strategy Review at Zurich Office (Bahnhofstrasse)</w:t>
            </w:r>
          </w:p>
        </w:tc>
        <w:tc>
          <w:tcPr/>
          <w:p>
            <w:pPr>
              <w:pStyle w:val="Compact"/>
              <w:jc w:val="left"/>
            </w:pPr>
            <w:r>
              <w:t xml:space="preserve">Quarterly</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9</w:t>
            </w:r>
          </w:p>
        </w:tc>
        <w:tc>
          <w:tcPr/>
          <w:p>
            <w:pPr>
              <w:pStyle w:val="Compact"/>
              <w:jc w:val="left"/>
            </w:pPr>
            <w:r>
              <w:t xml:space="preserve">International Wire Transfer &amp; Multi-Currency Account Management</w:t>
            </w:r>
          </w:p>
        </w:tc>
        <w:tc>
          <w:tcPr/>
          <w:p>
            <w:pPr>
              <w:pStyle w:val="Compact"/>
              <w:jc w:val="left"/>
            </w:pPr>
            <w:r>
              <w:t xml:space="preserve">Per transaction</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10</w:t>
            </w:r>
          </w:p>
        </w:tc>
        <w:tc>
          <w:tcPr/>
          <w:p>
            <w:pPr>
              <w:pStyle w:val="Compact"/>
              <w:jc w:val="left"/>
            </w:pPr>
            <w:r>
              <w:t xml:space="preserve">Annual Financial Reporting &amp; Performance Attribution Statement</w:t>
            </w:r>
          </w:p>
        </w:tc>
        <w:tc>
          <w:tcPr/>
          <w:p>
            <w:pPr>
              <w:pStyle w:val="Compact"/>
              <w:jc w:val="left"/>
            </w:pPr>
            <w:r>
              <w:t xml:space="preserve">Annual</w:t>
            </w:r>
          </w:p>
        </w:tc>
        <w:tc>
          <w:tcPr/>
          <w:p>
            <w:pPr>
              <w:pStyle w:val="Compact"/>
              <w:jc w:val="left"/>
            </w:pPr>
            <w:r>
              <w:t xml:space="preserve">2,600.00</w:t>
            </w:r>
          </w:p>
        </w:tc>
        <w:tc>
          <w:tcPr/>
          <w:p>
            <w:pPr>
              <w:pStyle w:val="Compact"/>
              <w:jc w:val="left"/>
            </w:pPr>
            <w:r>
              <w:t xml:space="preserve">2,600.00</w:t>
            </w:r>
          </w:p>
        </w:tc>
      </w:tr>
      <w:tr>
        <w:tc>
          <w:tcPr>
            <w:gridSpan w:val="4"/>
          </w:tcPr>
          <w:p>
            <w:pPr>
              <w:pStyle w:val="Compact"/>
              <w:jc w:val="right"/>
            </w:pPr>
            <w:r>
              <w:t xml:space="preserve">TOTAL ESTIMATED ANNUAL COST</w:t>
            </w:r>
          </w:p>
        </w:tc>
        <w:tc>
          <w:tcPr/>
          <w:p>
            <w:pPr>
              <w:pStyle w:val="Compact"/>
              <w:jc w:val="left"/>
            </w:pPr>
            <w:r>
              <w:t xml:space="preserve">CHF 118,400.00</w:t>
            </w:r>
          </w:p>
        </w:tc>
      </w:tr>
      <w:tr>
        <w:tc>
          <w:tcPr>
            <w:gridSpan w:val="4"/>
          </w:tcPr>
          <w:p>
            <w:pPr>
              <w:pStyle w:val="Compact"/>
              <w:jc w:val="right"/>
            </w:pPr>
            <w:r>
              <w:t xml:space="preserve">Applicable VAT (0% — Swiss banking exemption)</w:t>
            </w:r>
          </w:p>
        </w:tc>
        <w:tc>
          <w:tcPr/>
          <w:p>
            <w:pPr>
              <w:pStyle w:val="Compact"/>
              <w:jc w:val="left"/>
            </w:pPr>
            <w:r>
              <w:t xml:space="preserve">CHF 0.00</w:t>
            </w:r>
          </w:p>
        </w:tc>
      </w:tr>
      <w:tr>
        <w:tc>
          <w:tcPr>
            <w:gridSpan w:val="4"/>
          </w:tcPr>
          <w:p>
            <w:pPr>
              <w:pStyle w:val="Compact"/>
              <w:jc w:val="right"/>
            </w:pPr>
            <w:r>
              <w:t xml:space="preserve">GRAND TOTAL (CHF)</w:t>
            </w:r>
          </w:p>
        </w:tc>
        <w:tc>
          <w:tcPr/>
          <w:p>
            <w:pPr>
              <w:pStyle w:val="Compact"/>
              <w:jc w:val="left"/>
            </w:pPr>
            <w:r>
              <w:t xml:space="preserve">CHF 118,400.00</w:t>
            </w:r>
          </w:p>
        </w:tc>
      </w:tr>
    </w:tbl>
    <w:bookmarkEnd w:id="22"/>
    <w:bookmarkStart w:id="23" w:name="X06f751c0fef37426aad28df54ec1acd620508e5"/>
    <w:p>
      <w:pPr>
        <w:pStyle w:val="Heading2"/>
      </w:pPr>
      <w:r>
        <w:t xml:space="preserve">3. Terms &amp; Conditions of This Quotation Estimate</w:t>
      </w:r>
    </w:p>
    <w:p>
      <w:pPr>
        <w:numPr>
          <w:ilvl w:val="0"/>
          <w:numId w:val="1001"/>
        </w:numPr>
        <w:pStyle w:val="Compact"/>
      </w:pPr>
      <w:r>
        <w:t xml:space="preserve">This Quotation Estimate is issued exclusively for the named client and is non-transferable. It reflects the current fee schedule of Vogel &amp; Partner Bank AG as of the date of issue in Switzerland Zurich.</w:t>
      </w:r>
    </w:p>
    <w:p>
      <w:pPr>
        <w:numPr>
          <w:ilvl w:val="0"/>
          <w:numId w:val="1001"/>
        </w:numPr>
        <w:pStyle w:val="Compact"/>
      </w:pPr>
      <w:r>
        <w:t xml:space="preserve">All fees are quoted in Swiss Francs (CHF). No foreign currency conversion surcharge applies to transactions settled within the Swiss banking system.</w:t>
      </w:r>
    </w:p>
    <w:p>
      <w:pPr>
        <w:numPr>
          <w:ilvl w:val="0"/>
          <w:numId w:val="1001"/>
        </w:numPr>
        <w:pStyle w:val="Compact"/>
      </w:pPr>
      <w:r>
        <w:t xml:space="preserve">The assigned Banker is a licensed professional registered with the Swiss Financial Market Supervisory Authority (FINMA) and holds a valid professional liability insurance policy in accordance with the Swiss Banking Act (BankG).</w:t>
      </w:r>
    </w:p>
    <w:p>
      <w:pPr>
        <w:numPr>
          <w:ilvl w:val="0"/>
          <w:numId w:val="1001"/>
        </w:numPr>
        <w:pStyle w:val="Compact"/>
      </w:pPr>
      <w:r>
        <w:t xml:space="preserve">This estimate assumes a standard portfolio value between CHF 5,000,000 and CHF 25,000,000. Portfolios exceeding this range may be subject to a revised fee structure upon written request.</w:t>
      </w:r>
    </w:p>
    <w:p>
      <w:pPr>
        <w:numPr>
          <w:ilvl w:val="0"/>
          <w:numId w:val="1001"/>
        </w:numPr>
        <w:pStyle w:val="Compact"/>
      </w:pPr>
      <w:r>
        <w:t xml:space="preserve">The Quotation Estimate remains valid for ninety (90) calendar days from the date of issue. After expiry, all rates are subject to re-evaluation based on prevailing market conditions in the Zurich financial centre.</w:t>
      </w:r>
    </w:p>
    <w:p>
      <w:pPr>
        <w:numPr>
          <w:ilvl w:val="0"/>
          <w:numId w:val="1001"/>
        </w:numPr>
        <w:pStyle w:val="Compact"/>
      </w:pPr>
      <w:r>
        <w:t xml:space="preserve">Payment terms: 50% of the annual fee is due upon acceptance of this Quotation Estimate; the remaining 50% is payable in two equal semi-annual instalments. Late payments incur a statutory interest rate of 5% per annum as per Swiss Code of Obligations (OR Art. 104).</w:t>
      </w:r>
    </w:p>
    <w:p>
      <w:pPr>
        <w:numPr>
          <w:ilvl w:val="0"/>
          <w:numId w:val="1001"/>
        </w:numPr>
        <w:pStyle w:val="Compact"/>
      </w:pPr>
      <w:r>
        <w:t xml:space="preserve">All services are governed by the laws of the Canton of Zurich and the Federal Republic of Switzerland. Any disputes shall be resolved by the courts of Zurich or, at the client's election, by arbitration under the rules of the Swiss Arbitration Centre (SAC/SCC) in Zurich.</w:t>
      </w:r>
    </w:p>
    <w:p>
      <w:pPr>
        <w:numPr>
          <w:ilvl w:val="0"/>
          <w:numId w:val="1001"/>
        </w:numPr>
        <w:pStyle w:val="Compact"/>
      </w:pPr>
      <w:r>
        <w:t xml:space="preserve">The Banker shall maintain strict confidentiality in accordance with the Swiss Federal Act on Data Protection (FADP) and the professional secrecy obligations under the Swiss Banking Act.</w:t>
      </w:r>
    </w:p>
    <w:p>
      <w:pPr>
        <w:numPr>
          <w:ilvl w:val="0"/>
          <w:numId w:val="1001"/>
        </w:numPr>
        <w:pStyle w:val="Compact"/>
      </w:pPr>
      <w:r>
        <w:t xml:space="preserve">This Quotation Estimate does not constitute a binding contract until countersigned by both parties. Acceptance is confirmed by written signature and return of this document to the Zurich office.</w:t>
      </w:r>
    </w:p>
    <w:p>
      <w:pPr>
        <w:numPr>
          <w:ilvl w:val="0"/>
          <w:numId w:val="1001"/>
        </w:numPr>
        <w:pStyle w:val="Compact"/>
      </w:pPr>
      <w:r>
        <w:t xml:space="preserve">Any additional services not explicitly listed herein will be subject to a separate written amendment to this Quotation Estimate, approved by both the client and the responsible Banker.</w:t>
      </w:r>
    </w:p>
    <w:bookmarkEnd w:id="23"/>
    <w:bookmarkStart w:id="24" w:name="acceptance-authorization"/>
    <w:p>
      <w:pPr>
        <w:pStyle w:val="Heading2"/>
      </w:pPr>
      <w:r>
        <w:t xml:space="preserve">4. Acceptance &amp; Authorization</w:t>
      </w:r>
    </w:p>
    <w:p>
      <w:pPr>
        <w:pStyle w:val="FirstParagraph"/>
      </w:pPr>
      <w:r>
        <w:t xml:space="preserve">By signing below, the client acknowledges receipt of this Quotation Estimate for Banker services in Switzerland Zurich and agrees to the terms, conditions, and fee structure outlined above. The undersigned Banker confirms that all services will be delivered in full compliance with Swiss banking regulations and the highest standards of fiduciary duty.</w:t>
      </w:r>
    </w:p>
    <w:p>
      <w:pPr>
        <w:pStyle w:val="BodyText"/>
      </w:pPr>
      <w:r>
        <w:rPr>
          <w:bCs/>
          <w:b/>
        </w:rPr>
        <w:t xml:space="preserve">For Vogel &amp; Partner Bank AG</w:t>
      </w:r>
    </w:p>
    <w:p>
      <w:pPr>
        <w:pStyle w:val="BodyText"/>
      </w:pPr>
      <w:r>
        <w:t xml:space="preserve">Dr. Heinrich Vogel — Senior Banker &amp; Authorized Signatory</w:t>
      </w:r>
      <w:r>
        <w:br/>
      </w:r>
      <w:r>
        <w:t xml:space="preserve">Zurich, Switzerland — Date: _______________</w:t>
      </w:r>
    </w:p>
    <w:p>
      <w:pPr>
        <w:pStyle w:val="BodyText"/>
      </w:pPr>
      <w:r>
        <w:rPr>
          <w:bCs/>
          <w:b/>
        </w:rPr>
        <w:t xml:space="preserve">Client Acknowledgment</w:t>
      </w:r>
    </w:p>
    <w:p>
      <w:pPr>
        <w:pStyle w:val="BodyText"/>
      </w:pPr>
      <w:r>
        <w:t xml:space="preserve">Mr. Jonathan A. Whitfield — Client</w:t>
      </w:r>
      <w:r>
        <w:br/>
      </w:r>
      <w:r>
        <w:t xml:space="preserve">Zurich, Switzerland — Date: _______________</w:t>
      </w:r>
    </w:p>
    <w:p>
      <w:pPr>
        <w:pStyle w:val="BodyText"/>
      </w:pPr>
      <w:r>
        <w:t xml:space="preserve">Vogel &amp; Partner Bank AG • Bahnhofstrasse 42, 8001 Zurich, Switzerland • CHE-112.345.678</w:t>
      </w:r>
      <w:r>
        <w:br/>
      </w:r>
      <w:r>
        <w:t xml:space="preserve">Licensed by FINMA • Member of the Swiss Bankers Association (SBA) • Quotation Estimate Ref: QTE-ZRH-2025-04871</w:t>
      </w:r>
      <w:r>
        <w:br/>
      </w:r>
      <w:r>
        <w:t xml:space="preserve">This document is confidential and intended solely for the named recipient. Unauthorized reproduction or distribution is prohibited under Swiss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Switzerland Zurich</dc:title>
  <dc:creator/>
  <dc:language>en</dc:language>
  <cp:keywords/>
  <dcterms:created xsi:type="dcterms:W3CDTF">2026-10-10T07:01:59Z</dcterms:created>
  <dcterms:modified xsi:type="dcterms:W3CDTF">2026-10-10T07:01:59Z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