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Banker Services &amp; Financial Solutions</w:t>
      </w:r>
    </w:p>
    <w:p>
      <w:pPr>
        <w:pStyle w:val="BodyText"/>
      </w:pPr>
      <w:r>
        <w:t xml:space="preserve">Siam Corporate Financial Group Co., Ltd. | 128 Sukhumvit Road, Khlong Toei,</w:t>
      </w:r>
      <w:r>
        <w:t xml:space="preserve"> </w:t>
      </w:r>
      <w:r>
        <w:rPr>
          <w:bCs/>
          <w:b/>
        </w:rPr>
        <w:t xml:space="preserve">Thailand Bangkok</w:t>
      </w:r>
      <w:r>
        <w:t xml:space="preserve"> </w:t>
      </w:r>
      <w:r>
        <w:t xml:space="preserve">10110</w:t>
      </w:r>
    </w:p>
    <w:p>
      <w:pPr>
        <w:pStyle w:val="BodyText"/>
      </w:pPr>
      <w:r>
        <w:t xml:space="preserve">Tel: +66 (0) 2 255 8800 | Email: quotations@siambankerservice.co.th</w:t>
      </w:r>
    </w:p>
    <w:bookmarkEnd w:id="20"/>
    <w:p>
      <w:pPr>
        <w:pStyle w:val="BodyText"/>
      </w:pPr>
      <w:r>
        <w:rPr>
          <w:bCs/>
          <w:b/>
        </w:rPr>
        <w:t xml:space="preserve">Quotation No.:</w:t>
      </w:r>
      <w:r>
        <w:t xml:space="preserve"> </w:t>
      </w:r>
      <w:r>
        <w:t xml:space="preserve">QTE-2025-BKK-04782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Somchai Prasert</w:t>
      </w:r>
      <w:r>
        <w:br/>
      </w:r>
      <w:r>
        <w:t xml:space="preserve">Director, Prasert Trading Co., Ltd.</w:t>
      </w:r>
      <w:r>
        <w:br/>
      </w:r>
      <w:r>
        <w:t xml:space="preserve">45 Ratchaprasong Road, Pathum Wan,</w:t>
      </w:r>
      <w:r>
        <w:br/>
      </w:r>
      <w:r>
        <w:rPr>
          <w:bCs/>
          <w:b/>
        </w:rPr>
        <w:t xml:space="preserve">Thailand Bangkok</w:t>
      </w:r>
      <w:r>
        <w:t xml:space="preserve"> </w:t>
      </w:r>
      <w:r>
        <w:t xml:space="preserve">10330</w:t>
      </w:r>
    </w:p>
    <w:p>
      <w:pPr>
        <w:pStyle w:val="BodyText"/>
      </w:pPr>
      <w:r>
        <w:t xml:space="preserve">Dear Mr. Prasert,</w:t>
      </w:r>
    </w:p>
    <w:p>
      <w:pPr>
        <w:pStyle w:val="BodyText"/>
      </w:pPr>
      <w:r>
        <w:t xml:space="preserve">Thank you for your inquiry regarding comprehensive banking and financial advisory services. Siam Corporate Financial Group Co., Ltd. is pleased to present this</w:t>
      </w:r>
      <w:r>
        <w:t xml:space="preserve"> </w:t>
      </w:r>
      <w:r>
        <w:t xml:space="preserve">Quotation Estimate</w:t>
      </w:r>
      <w:r>
        <w:t xml:space="preserve"> </w:t>
      </w:r>
      <w:r>
        <w:t xml:space="preserve">for the engagement of a dedicated</w:t>
      </w:r>
      <w:r>
        <w:t xml:space="preserve"> </w:t>
      </w:r>
      <w:r>
        <w:t xml:space="preserve">Banker</w:t>
      </w:r>
      <w:r>
        <w:t xml:space="preserve"> </w:t>
      </w:r>
      <w:r>
        <w:t xml:space="preserve">and associated financial services to be delivered at your premises and our offices in</w:t>
      </w:r>
      <w:r>
        <w:t xml:space="preserve"> </w:t>
      </w:r>
      <w:r>
        <w:t xml:space="preserve">Thailand Bangkok</w:t>
      </w:r>
      <w:r>
        <w:t xml:space="preserve">. This document outlines the scope of work, professional fees, and terms governing the proposed engagement.</w:t>
      </w:r>
    </w:p>
    <w:p>
      <w:pPr>
        <w:pStyle w:val="BodyText"/>
      </w:pPr>
      <w:r>
        <w:t xml:space="preserve">Our team of certified</w:t>
      </w:r>
      <w:r>
        <w:t xml:space="preserve"> </w:t>
      </w:r>
      <w:r>
        <w:t xml:space="preserve">Banker</w:t>
      </w:r>
      <w:r>
        <w:t xml:space="preserve"> </w:t>
      </w:r>
      <w:r>
        <w:t xml:space="preserve">professionals in</w:t>
      </w:r>
      <w:r>
        <w:t xml:space="preserve"> </w:t>
      </w:r>
      <w:r>
        <w:t xml:space="preserve">Thailand Bangkok</w:t>
      </w:r>
      <w:r>
        <w:t xml:space="preserve"> </w:t>
      </w:r>
      <w:r>
        <w:t xml:space="preserve">brings over fifteen years of combined experience in corporate treasury management, trade finance, foreign exchange operations, and regulatory compliance under the Bank of Thailand's supervisory framework. We are committed to delivering tailored financial solutions that align with your business objectives and the evolving regulatory landscape of the Kingdom of Thailand.</w:t>
      </w:r>
    </w:p>
    <w:bookmarkStart w:id="21" w:name="scope-of-services"/>
    <w:p>
      <w:pPr>
        <w:pStyle w:val="Heading2"/>
      </w:pPr>
      <w:r>
        <w:t xml:space="preserve">1. Scope of Services</w:t>
      </w:r>
    </w:p>
    <w:p>
      <w:pPr>
        <w:pStyle w:val="FirstParagraph"/>
      </w:pPr>
      <w:r>
        <w:t xml:space="preserve">The following services are included in this</w:t>
      </w:r>
      <w:r>
        <w:t xml:space="preserve"> </w:t>
      </w:r>
      <w:r>
        <w:t xml:space="preserve">Quotation Estimate</w:t>
      </w:r>
      <w:r>
        <w:t xml:space="preserve"> </w:t>
      </w:r>
      <w:r>
        <w:t xml:space="preserve">for the engagement of a senior</w:t>
      </w:r>
      <w:r>
        <w:t xml:space="preserve"> </w:t>
      </w:r>
      <w:r>
        <w:t xml:space="preserve">Banker</w:t>
      </w:r>
      <w:r>
        <w:t xml:space="preserve"> </w:t>
      </w:r>
      <w:r>
        <w:t xml:space="preserve">based in</w:t>
      </w:r>
      <w:r>
        <w:t xml:space="preserve"> </w:t>
      </w:r>
      <w:r>
        <w:t xml:space="preserve">Thailand Bangkok</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Banker – Corporate Account Management &amp; Relationship Oversight (dedicated on-site presence in Thailand Bangkok)</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Treasury &amp; Cash Flow Advisory – Daily liquidity planning, investment allocation, and short-term funding strategy</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Trade Finance Coordination – Letters of Credit, documentary collections, and export-import settlement processing</w:t>
            </w:r>
          </w:p>
        </w:tc>
        <w:tc>
          <w:tcPr/>
          <w:p>
            <w:pPr>
              <w:pStyle w:val="Compact"/>
              <w:jc w:val="left"/>
            </w:pPr>
            <w:r>
              <w:t xml:space="preserve">Per transaction</w:t>
            </w:r>
          </w:p>
        </w:tc>
        <w:tc>
          <w:tcPr/>
          <w:p>
            <w:pPr>
              <w:pStyle w:val="Compact"/>
              <w:jc w:val="left"/>
            </w:pPr>
            <w:r>
              <w:t xml:space="preserve">Per LC</w:t>
            </w:r>
          </w:p>
        </w:tc>
        <w:tc>
          <w:tcPr/>
          <w:p>
            <w:pPr>
              <w:pStyle w:val="Compact"/>
              <w:jc w:val="left"/>
            </w:pPr>
            <w:r>
              <w:t xml:space="preserve">12,500</w:t>
            </w:r>
          </w:p>
        </w:tc>
      </w:tr>
      <w:tr>
        <w:tc>
          <w:tcPr/>
          <w:p>
            <w:pPr>
              <w:pStyle w:val="Compact"/>
              <w:jc w:val="left"/>
            </w:pPr>
            <w:r>
              <w:t xml:space="preserve">4</w:t>
            </w:r>
          </w:p>
        </w:tc>
        <w:tc>
          <w:tcPr/>
          <w:p>
            <w:pPr>
              <w:pStyle w:val="Compact"/>
              <w:jc w:val="left"/>
            </w:pPr>
            <w:r>
              <w:t xml:space="preserve">Foreign Exchange Risk Management – Hedging strategy design, forward contracts, and currency exposure reporting</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Regulatory Compliance &amp; AML Reporting – Anti-Money Laundering filings, Bank of Thailand reporting, and BOI privilege maintenance</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Quarterly Financial Review &amp; Board Presentation – Comprehensive performance analysis and strategic recommendations</w:t>
            </w:r>
          </w:p>
        </w:tc>
        <w:tc>
          <w:tcPr/>
          <w:p>
            <w:pPr>
              <w:pStyle w:val="Compact"/>
              <w:jc w:val="left"/>
            </w:pPr>
            <w:r>
              <w:t xml:space="preserve">4 sessions</w:t>
            </w:r>
          </w:p>
        </w:tc>
        <w:tc>
          <w:tcPr/>
          <w:p>
            <w:pPr>
              <w:pStyle w:val="Compact"/>
              <w:jc w:val="left"/>
            </w:pPr>
            <w:r>
              <w:t xml:space="preserve">Per session</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Onboarding &amp; System Integration – Account setup, API connectivity with corporate banking platforms, and staff training in Thailand Bangkok</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220,000</w:t>
            </w:r>
          </w:p>
        </w:tc>
      </w:tr>
    </w:tbl>
    <w:bookmarkEnd w:id="21"/>
    <w:bookmarkStart w:id="22" w:name="cost-summary"/>
    <w:p>
      <w:pPr>
        <w:pStyle w:val="Heading2"/>
      </w:pPr>
      <w:r>
        <w:t xml:space="preserve">2.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Amount (THB)</w:t>
            </w:r>
          </w:p>
        </w:tc>
      </w:tr>
      <w:tr>
        <w:tc>
          <w:tcPr/>
          <w:p>
            <w:pPr>
              <w:pStyle w:val="Compact"/>
              <w:jc w:val="left"/>
            </w:pPr>
            <w:r>
              <w:t xml:space="preserve">Monthly recurring services (Items 1, 2, 4, 5) – 12 months</w:t>
            </w:r>
          </w:p>
        </w:tc>
        <w:tc>
          <w:tcPr/>
          <w:p>
            <w:pPr>
              <w:pStyle w:val="Compact"/>
              <w:jc w:val="left"/>
            </w:pPr>
            <w:r>
              <w:t xml:space="preserve">4,128,000</w:t>
            </w:r>
          </w:p>
        </w:tc>
      </w:tr>
      <w:tr>
        <w:tc>
          <w:tcPr/>
          <w:p>
            <w:pPr>
              <w:pStyle w:val="Compact"/>
              <w:jc w:val="left"/>
            </w:pPr>
            <w:r>
              <w:t xml:space="preserve">Trade Finance (estimated 20 transactions per year)</w:t>
            </w:r>
          </w:p>
        </w:tc>
        <w:tc>
          <w:tcPr/>
          <w:p>
            <w:pPr>
              <w:pStyle w:val="Compact"/>
              <w:jc w:val="left"/>
            </w:pPr>
            <w:r>
              <w:t xml:space="preserve">250,000</w:t>
            </w:r>
          </w:p>
        </w:tc>
      </w:tr>
      <w:tr>
        <w:tc>
          <w:tcPr/>
          <w:p>
            <w:pPr>
              <w:pStyle w:val="Compact"/>
              <w:jc w:val="left"/>
            </w:pPr>
            <w:r>
              <w:t xml:space="preserve">Quarterly Financial Reviews (4 sessions)</w:t>
            </w:r>
          </w:p>
        </w:tc>
        <w:tc>
          <w:tcPr/>
          <w:p>
            <w:pPr>
              <w:pStyle w:val="Compact"/>
              <w:jc w:val="left"/>
            </w:pPr>
            <w:r>
              <w:t xml:space="preserve">180,000</w:t>
            </w:r>
          </w:p>
        </w:tc>
      </w:tr>
      <w:tr>
        <w:tc>
          <w:tcPr/>
          <w:p>
            <w:pPr>
              <w:pStyle w:val="Compact"/>
              <w:jc w:val="left"/>
            </w:pPr>
            <w:r>
              <w:t xml:space="preserve">Onboarding &amp; System Integration (one-time)</w:t>
            </w:r>
          </w:p>
        </w:tc>
        <w:tc>
          <w:tcPr/>
          <w:p>
            <w:pPr>
              <w:pStyle w:val="Compact"/>
              <w:jc w:val="left"/>
            </w:pPr>
            <w:r>
              <w:t xml:space="preserve">220,000</w:t>
            </w:r>
          </w:p>
        </w:tc>
      </w:tr>
      <w:tr>
        <w:tc>
          <w:tcPr/>
          <w:p>
            <w:pPr>
              <w:pStyle w:val="Compact"/>
              <w:jc w:val="left"/>
            </w:pPr>
            <w:r>
              <w:t xml:space="preserve">Subtotal</w:t>
            </w:r>
          </w:p>
        </w:tc>
        <w:tc>
          <w:tcPr/>
          <w:p>
            <w:pPr>
              <w:pStyle w:val="Compact"/>
              <w:jc w:val="left"/>
            </w:pPr>
            <w:r>
              <w:t xml:space="preserve">4,778,000</w:t>
            </w:r>
          </w:p>
        </w:tc>
      </w:tr>
      <w:tr>
        <w:tc>
          <w:tcPr/>
          <w:p>
            <w:pPr>
              <w:pStyle w:val="Compact"/>
              <w:jc w:val="left"/>
            </w:pPr>
            <w:r>
              <w:t xml:space="preserve">VAT (7%)</w:t>
            </w:r>
          </w:p>
        </w:tc>
        <w:tc>
          <w:tcPr/>
          <w:p>
            <w:pPr>
              <w:pStyle w:val="Compact"/>
              <w:jc w:val="left"/>
            </w:pPr>
            <w:r>
              <w:t xml:space="preserve">334,460</w:t>
            </w:r>
          </w:p>
        </w:tc>
      </w:tr>
      <w:tr>
        <w:tc>
          <w:tcPr/>
          <w:p>
            <w:pPr>
              <w:pStyle w:val="Compact"/>
              <w:jc w:val="left"/>
            </w:pPr>
            <w:r>
              <w:t xml:space="preserve">Total Quotation Estimate (THB)</w:t>
            </w:r>
          </w:p>
        </w:tc>
        <w:tc>
          <w:tcPr/>
          <w:p>
            <w:pPr>
              <w:pStyle w:val="Compact"/>
              <w:jc w:val="left"/>
            </w:pPr>
            <w:r>
              <w:t xml:space="preserve">5,112,460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fees and service terms are subject to revision based on prevailing market conditions in</w:t>
      </w:r>
      <w:r>
        <w:t xml:space="preserve"> </w:t>
      </w:r>
      <w:r>
        <w:t xml:space="preserve">Thailand Bangkok</w:t>
      </w:r>
      <w:r>
        <w:t xml:space="preserve">.</w:t>
      </w:r>
    </w:p>
    <w:p>
      <w:pPr>
        <w:numPr>
          <w:ilvl w:val="0"/>
          <w:numId w:val="1001"/>
        </w:numPr>
        <w:pStyle w:val="Compact"/>
      </w:pPr>
      <w:r>
        <w:t xml:space="preserve">Payment terms: 50% of the total engagement fee is due upon contract execution; the remaining 50% shall be invoiced monthly in arrears. Trade finance fees are payable within five (5) business days of transaction completion.</w:t>
      </w:r>
    </w:p>
    <w:p>
      <w:pPr>
        <w:numPr>
          <w:ilvl w:val="0"/>
          <w:numId w:val="1001"/>
        </w:numPr>
        <w:pStyle w:val="Compact"/>
      </w:pPr>
      <w:r>
        <w:t xml:space="preserve">The dedicated</w:t>
      </w:r>
      <w:r>
        <w:t xml:space="preserve"> </w:t>
      </w:r>
      <w:r>
        <w:t xml:space="preserve">Banker</w:t>
      </w:r>
      <w:r>
        <w:t xml:space="preserve"> </w:t>
      </w:r>
      <w:r>
        <w:t xml:space="preserve">assigned to your account shall be a licensed professional registered with the Bank of Thailand and shall maintain all requisite professional indemnity insurance throughout the engagement period.</w:t>
      </w:r>
    </w:p>
    <w:p>
      <w:pPr>
        <w:numPr>
          <w:ilvl w:val="0"/>
          <w:numId w:val="1001"/>
        </w:numPr>
        <w:pStyle w:val="Compact"/>
      </w:pPr>
      <w:r>
        <w:t xml:space="preserve">All services shall be performed in accordance with the Banking Business Act B.E. 2505 (1962), as amended, and all applicable regulations issued by the Bank of Thailand and the Office of the Anti-Money Laundering Committee (AMLC).</w:t>
      </w:r>
    </w:p>
    <w:p>
      <w:pPr>
        <w:numPr>
          <w:ilvl w:val="0"/>
          <w:numId w:val="1001"/>
        </w:numPr>
        <w:pStyle w:val="Compact"/>
      </w:pPr>
      <w:r>
        <w:t xml:space="preserve">Confidentiality: All financial data, transaction records, and strategic information shared during the engagement shall be treated as strictly confidential and shall not be disclosed to any third party without written consent, in compliance with Thailand's Personal Data Protection Act B.E. 2562 (2019).</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 services.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or systemic financial disruptions affecting</w:t>
      </w:r>
      <w:r>
        <w:t xml:space="preserve"> </w:t>
      </w:r>
      <w:r>
        <w:t xml:space="preserve">Thailand Bangkok</w:t>
      </w:r>
      <w:r>
        <w:t xml:space="preserve">.</w:t>
      </w:r>
    </w:p>
    <w:p>
      <w:pPr>
        <w:numPr>
          <w:ilvl w:val="0"/>
          <w:numId w:val="1001"/>
        </w:numPr>
        <w:pStyle w:val="Compact"/>
      </w:pPr>
      <w:r>
        <w:t xml:space="preserve">Dispute resolution shall be governed by the laws of the Kingdom of Thailand and shall be subject to the exclusive jurisdiction of the courts in</w:t>
      </w:r>
      <w:r>
        <w:t xml:space="preserve"> </w:t>
      </w:r>
      <w:r>
        <w:t xml:space="preserve">Thailand Bangkok</w:t>
      </w:r>
      <w:r>
        <w:t xml:space="preserve">.</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 proposed</w:t>
      </w:r>
      <w:r>
        <w:t xml:space="preserve"> </w:t>
      </w:r>
      <w:r>
        <w:t xml:space="preserve">Banker</w:t>
      </w:r>
      <w:r>
        <w:t xml:space="preserve"> </w:t>
      </w:r>
      <w:r>
        <w:t xml:space="preserve">services in</w:t>
      </w:r>
      <w:r>
        <w:t xml:space="preserve"> </w:t>
      </w:r>
      <w:r>
        <w:t xml:space="preserve">Thailand Bangkok</w:t>
      </w:r>
      <w:r>
        <w:t xml:space="preserve">.</w:t>
      </w:r>
    </w:p>
    <w:p>
      <w:pPr>
        <w:pStyle w:val="BodyText"/>
      </w:pPr>
      <w:r>
        <w:rPr>
          <w:bCs/>
          <w:b/>
        </w:rPr>
        <w:t xml:space="preserve">For and on behalf of Siam Corporate Financial Group Co., Ltd.</w:t>
      </w:r>
    </w:p>
    <w:p>
      <w:pPr>
        <w:pStyle w:val="BodyText"/>
      </w:pPr>
      <w:r>
        <w:t xml:space="preserve">Name: Khun Anan Sirivadhanakul</w:t>
      </w:r>
      <w:r>
        <w:br/>
      </w:r>
      <w:r>
        <w:t xml:space="preserve">Title: Chief Banking Officer</w:t>
      </w:r>
      <w:r>
        <w:br/>
      </w:r>
      <w:r>
        <w:t xml:space="preserve">Signature: _________________________</w:t>
      </w:r>
      <w:r>
        <w:br/>
      </w:r>
      <w:r>
        <w:t xml:space="preserve">Date: _________________________</w:t>
      </w:r>
    </w:p>
    <w:p>
      <w:pPr>
        <w:pStyle w:val="BodyText"/>
      </w:pPr>
      <w:r>
        <w:rPr>
          <w:bCs/>
          <w:b/>
        </w:rPr>
        <w:t xml:space="preserve">For and on behalf of Prasert Trading Co., Ltd.</w:t>
      </w:r>
    </w:p>
    <w:p>
      <w:pPr>
        <w:pStyle w:val="BodyText"/>
      </w:pPr>
      <w:r>
        <w:t xml:space="preserve">Name: Mr. Somchai Prasert</w:t>
      </w:r>
      <w:r>
        <w:br/>
      </w:r>
      <w:r>
        <w:t xml:space="preserve">Title: Director</w:t>
      </w:r>
      <w:r>
        <w:br/>
      </w:r>
      <w:r>
        <w:t xml:space="preserve">Signature: _________________________</w:t>
      </w:r>
      <w:r>
        <w:br/>
      </w:r>
      <w:r>
        <w:t xml:space="preserve">Date: _________________________</w:t>
      </w:r>
    </w:p>
    <w:p>
      <w:pPr>
        <w:pStyle w:val="BodyText"/>
      </w:pPr>
      <w:r>
        <w:t xml:space="preserve">Siam Corporate Financial Group Co., Ltd. | Registered in Thailand under Company No. 0105556789012 | VAT No. 0105556789012</w:t>
      </w:r>
    </w:p>
    <w:p>
      <w:pPr>
        <w:pStyle w:val="BodyText"/>
      </w:pPr>
      <w:r>
        <w:t xml:space="preserve">Head Office: 128 Sukhumvit Road, Khlong Toei, Thailand Bangkok 10110 | This Quotation Estimate is generated electronically and is valid without a physical seal.</w:t>
      </w:r>
    </w:p>
    <w:p>
      <w:pPr>
        <w:pStyle w:val="BodyText"/>
      </w:pPr>
      <w:r>
        <w:t xml:space="preserve">© 2025 Siam Corporate Financial Group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Thailand Bangkok</dc:title>
  <dc:creator/>
  <dc:language>en</dc:language>
  <cp:keywords/>
  <dcterms:created xsi:type="dcterms:W3CDTF">2026-10-10T09:19:41Z</dcterms:created>
  <dcterms:modified xsi:type="dcterms:W3CDTF">2026-10-10T09:19:41Z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