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Solution</w:t>
      </w:r>
      <w:r>
        <w:t xml:space="preserve"> </w:t>
      </w:r>
      <w:r>
        <w:t xml:space="preserve">-</w:t>
      </w:r>
      <w:r>
        <w:t xml:space="preserve"> </w:t>
      </w:r>
      <w:r>
        <w:t xml:space="preserve">Turkey</w:t>
      </w:r>
      <w:r>
        <w:t xml:space="preserve"> </w:t>
      </w:r>
      <w:r>
        <w:t xml:space="preserve">Ankara</w:t>
      </w:r>
    </w:p>
    <w:bookmarkStart w:id="21" w:name="quotation-estimate"/>
    <w:p>
      <w:pPr>
        <w:pStyle w:val="Heading1"/>
      </w:pPr>
      <w:r>
        <w:t xml:space="preserve">QUOTATION ESTIMATE</w:t>
      </w:r>
    </w:p>
    <w:bookmarkStart w:id="20" w:name="Xe642ae5090e75030dd1da8922974339b16c9abe"/>
    <w:p>
      <w:pPr>
        <w:pStyle w:val="Heading2"/>
      </w:pPr>
      <w:r>
        <w:t xml:space="preserve">Banker Solution — Deployment &amp; Implementation in Turkey Ankara</w:t>
      </w:r>
    </w:p>
    <w:p>
      <w:pPr>
        <w:pStyle w:val="FirstParagraph"/>
      </w:pPr>
      <w:r>
        <w:t xml:space="preserve">Document Reference: QE-BNK-ANK-2025-0472</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QE-BNK-ANK-2025-0472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calendar days)</w:t>
            </w:r>
          </w:p>
        </w:tc>
      </w:tr>
      <w:tr>
        <w:tc>
          <w:tcPr/>
          <w:p>
            <w:pPr>
              <w:pStyle w:val="Compact"/>
              <w:jc w:val="left"/>
            </w:pPr>
            <w:r>
              <w:t xml:space="preserve">Prepared For:</w:t>
            </w:r>
          </w:p>
        </w:tc>
        <w:tc>
          <w:tcPr/>
          <w:p>
            <w:pPr>
              <w:pStyle w:val="Compact"/>
              <w:jc w:val="left"/>
            </w:pPr>
            <w:r>
              <w:t xml:space="preserve">Merkez Finansal Hizmetler A.S., Kizilay Mahallesi, Ulus, 06420 Ankara, Turkey</w:t>
            </w:r>
          </w:p>
        </w:tc>
      </w:tr>
      <w:tr>
        <w:tc>
          <w:tcPr/>
          <w:p>
            <w:pPr>
              <w:pStyle w:val="Compact"/>
              <w:jc w:val="left"/>
            </w:pPr>
            <w:r>
              <w:t xml:space="preserve">Prepared By:</w:t>
            </w:r>
          </w:p>
        </w:tc>
        <w:tc>
          <w:tcPr/>
          <w:p>
            <w:pPr>
              <w:pStyle w:val="Compact"/>
              <w:jc w:val="left"/>
            </w:pPr>
            <w:r>
              <w:t xml:space="preserve">Global Banking Solutions Ltd., 12 Financial District, London, United Kingdom</w:t>
            </w:r>
          </w:p>
        </w:tc>
      </w:tr>
      <w:tr>
        <w:tc>
          <w:tcPr/>
          <w:p>
            <w:pPr>
              <w:pStyle w:val="Compact"/>
              <w:jc w:val="left"/>
            </w:pPr>
            <w:r>
              <w:t xml:space="preserve">Project Location:</w:t>
            </w:r>
          </w:p>
        </w:tc>
        <w:tc>
          <w:tcPr/>
          <w:p>
            <w:pPr>
              <w:pStyle w:val="Compact"/>
              <w:jc w:val="left"/>
            </w:pPr>
            <w:r>
              <w:t xml:space="preserve">Ankara, Turkey — Central Business District, Kizilay &amp; Ulus Zones</w:t>
            </w:r>
          </w:p>
        </w:tc>
      </w:tr>
      <w:tr>
        <w:tc>
          <w:tcPr/>
          <w:p>
            <w:pPr>
              <w:pStyle w:val="Compact"/>
              <w:jc w:val="left"/>
            </w:pPr>
            <w:r>
              <w:t xml:space="preserve">Currency:</w:t>
            </w:r>
          </w:p>
        </w:tc>
        <w:tc>
          <w:tcPr/>
          <w:p>
            <w:pPr>
              <w:pStyle w:val="Compact"/>
              <w:jc w:val="left"/>
            </w:pPr>
            <w:r>
              <w:t xml:space="preserve">United States Dollar (USD) / Turkish Lira (TRY) equivalent</w:t>
            </w:r>
          </w:p>
        </w:tc>
      </w:tr>
    </w:tbl>
    <w:bookmarkStart w:id="22" w:name="executive-summary"/>
    <w:p>
      <w:pPr>
        <w:pStyle w:val="Heading3"/>
      </w:pPr>
      <w:r>
        <w:t xml:space="preserve">1. Executive Summary</w:t>
      </w:r>
    </w:p>
    <w:p>
      <w:pPr>
        <w:pStyle w:val="FirstParagraph"/>
      </w:pPr>
      <w:r>
        <w:t xml:space="preserve">This Quotation Estimate is formally issued to provide a comprehensive cost breakdown for the design, supply, installation, and ongoing support of the</w:t>
      </w:r>
      <w:r>
        <w:t xml:space="preserve"> </w:t>
      </w:r>
      <w:r>
        <w:rPr>
          <w:bCs/>
          <w:b/>
        </w:rPr>
        <w:t xml:space="preserve">Banker</w:t>
      </w:r>
      <w:r>
        <w:t xml:space="preserve"> </w:t>
      </w:r>
      <w:r>
        <w:t xml:space="preserve">integrated banking platform to be deployed and operated in</w:t>
      </w:r>
      <w:r>
        <w:t xml:space="preserve"> </w:t>
      </w:r>
      <w:r>
        <w:rPr>
          <w:bCs/>
          <w:b/>
        </w:rPr>
        <w:t xml:space="preserve">Turkey Ankara</w:t>
      </w:r>
      <w:r>
        <w:t xml:space="preserve">. The Banker system represents a full-spectrum digital banking infrastructure solution encompassing core banking engines, customer relationship management modules, real-time transaction processing, regulatory compliance frameworks aligned with the Banking Regulation and Supervision Agency of Turkey (BDDK), and multi-channel client access portals. This Quotation Estimate covers all phases from initial site assessment in Ankara through to a twelve-month post-deployment support period.</w:t>
      </w:r>
    </w:p>
    <w:bookmarkEnd w:id="22"/>
    <w:bookmarkStart w:id="23" w:name="X9fd58d6449436261c88398f859bf4dc16791e77"/>
    <w:p>
      <w:pPr>
        <w:pStyle w:val="Heading3"/>
      </w:pPr>
      <w:r>
        <w:t xml:space="preserve">2. Scope of Work — Banker Platform in Turkey Ankara</w:t>
      </w:r>
    </w:p>
    <w:p>
      <w:pPr>
        <w:pStyle w:val="FirstParagraph"/>
      </w:pPr>
      <w:r>
        <w:t xml:space="preserve">The Banker solution will be tailored specifically for the operational requirements of financial institutions operating within the Ankara metropolitan area. The scope includes the following deliverables:</w:t>
      </w:r>
    </w:p>
    <w:p>
      <w:pPr>
        <w:numPr>
          <w:ilvl w:val="0"/>
          <w:numId w:val="1001"/>
        </w:numPr>
        <w:pStyle w:val="Compact"/>
      </w:pPr>
      <w:r>
        <w:t xml:space="preserve">Core Banking Engine deployment (Banker Core v7.2) configured for Turkish regulatory standards and BDDK reporting requirements.</w:t>
      </w:r>
    </w:p>
    <w:p>
      <w:pPr>
        <w:numPr>
          <w:ilvl w:val="0"/>
          <w:numId w:val="1001"/>
        </w:numPr>
        <w:pStyle w:val="Compact"/>
      </w:pPr>
      <w:r>
        <w:t xml:space="preserve">Customer-facing digital banking portal (Banker Connect) supporting Turkish (Türkçe) and English interfaces, with full compliance to KVKK (Personal Data Protection Law) data residency mandates within Turkey Ankara data centers.</w:t>
      </w:r>
    </w:p>
    <w:p>
      <w:pPr>
        <w:numPr>
          <w:ilvl w:val="0"/>
          <w:numId w:val="1001"/>
        </w:numPr>
        <w:pStyle w:val="Compact"/>
      </w:pPr>
      <w:r>
        <w:t xml:space="preserve">Real-time interbank payment processing module integrated with the Turkish Payment Systems (TÜB) and the Central Bank of the Republic of Turkey (TCMB) settlement infrastructure.</w:t>
      </w:r>
    </w:p>
    <w:p>
      <w:pPr>
        <w:numPr>
          <w:ilvl w:val="0"/>
          <w:numId w:val="1001"/>
        </w:numPr>
        <w:pStyle w:val="Compact"/>
      </w:pPr>
      <w:r>
        <w:t xml:space="preserve">Anti-Money Laundering (AML) and Know Your Customer (KYC) compliance suite calibrated to Ankara-specific regulatory thresholds.</w:t>
      </w:r>
    </w:p>
    <w:p>
      <w:pPr>
        <w:numPr>
          <w:ilvl w:val="0"/>
          <w:numId w:val="1001"/>
        </w:numPr>
        <w:pStyle w:val="Compact"/>
      </w:pPr>
      <w:r>
        <w:t xml:space="preserve">On-site hardware provisioning: 14 server units, 6 network switches, 2 redundant UPS systems, and 40 client workstations for the Ankara headquarters branch.</w:t>
      </w:r>
    </w:p>
    <w:p>
      <w:pPr>
        <w:numPr>
          <w:ilvl w:val="0"/>
          <w:numId w:val="1001"/>
        </w:numPr>
        <w:pStyle w:val="Compact"/>
      </w:pPr>
      <w:r>
        <w:t xml:space="preserve">Staff training program: 120 hours of on-site training for 35 bank personnel at the Ankara office, covering Banker system administration, transaction processing, and troubleshooting.</w:t>
      </w:r>
    </w:p>
    <w:bookmarkEnd w:id="23"/>
    <w:bookmarkStart w:id="24" w:name="Xe0d855c7c597480bbf70fab7c81f89c20a8fc33"/>
    <w:p>
      <w:pPr>
        <w:pStyle w:val="Heading3"/>
      </w:pPr>
      <w:r>
        <w:t xml:space="preserve">3. Quotation Estimate —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 Cost (USD)</w:t>
            </w:r>
          </w:p>
        </w:tc>
        <w:tc>
          <w:tcPr/>
          <w:p>
            <w:pPr>
              <w:pStyle w:val="Compact"/>
              <w:jc w:val="left"/>
            </w:pPr>
            <w:r>
              <w:t xml:space="preserve">Total Cost (USD)</w:t>
            </w:r>
          </w:p>
        </w:tc>
        <w:tc>
          <w:tcPr/>
          <w:p>
            <w:pPr>
              <w:pStyle w:val="Compact"/>
              <w:jc w:val="left"/>
            </w:pPr>
            <w:r>
              <w:t xml:space="preserve">Delivery / Phase</w:t>
            </w:r>
          </w:p>
        </w:tc>
      </w:tr>
      <w:tr>
        <w:tc>
          <w:tcPr/>
          <w:p>
            <w:pPr>
              <w:pStyle w:val="Compact"/>
              <w:jc w:val="left"/>
            </w:pPr>
            <w:r>
              <w:t xml:space="preserve">01</w:t>
            </w:r>
          </w:p>
        </w:tc>
        <w:tc>
          <w:tcPr/>
          <w:p>
            <w:pPr>
              <w:pStyle w:val="Compact"/>
              <w:jc w:val="left"/>
            </w:pPr>
            <w:r>
              <w:t xml:space="preserve">Banker Core Banking Engine — License (Perpetual, Ankara deployment)</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c>
          <w:tcPr/>
          <w:p>
            <w:pPr>
              <w:pStyle w:val="Compact"/>
              <w:jc w:val="left"/>
            </w:pPr>
            <w:r>
              <w:t xml:space="preserve">Phase 1 — Weeks 1–4</w:t>
            </w:r>
          </w:p>
        </w:tc>
      </w:tr>
      <w:tr>
        <w:tc>
          <w:tcPr/>
          <w:p>
            <w:pPr>
              <w:pStyle w:val="Compact"/>
              <w:jc w:val="left"/>
            </w:pPr>
            <w:r>
              <w:t xml:space="preserve">02</w:t>
            </w:r>
          </w:p>
        </w:tc>
        <w:tc>
          <w:tcPr/>
          <w:p>
            <w:pPr>
              <w:pStyle w:val="Compact"/>
              <w:jc w:val="left"/>
            </w:pPr>
            <w:r>
              <w:t xml:space="preserve">Banker Connect Digital Portal — License &amp; Customization (TR/EN)</w:t>
            </w:r>
          </w:p>
        </w:tc>
        <w:tc>
          <w:tcPr/>
          <w:p>
            <w:pPr>
              <w:pStyle w:val="Compact"/>
              <w:jc w:val="left"/>
            </w:pPr>
            <w:r>
              <w:t xml:space="preserve">1</w:t>
            </w:r>
          </w:p>
        </w:tc>
        <w:tc>
          <w:tcPr/>
          <w:p>
            <w:pPr>
              <w:pStyle w:val="Compact"/>
              <w:jc w:val="left"/>
            </w:pPr>
            <w:r>
              <w:t xml:space="preserve">192,500.00</w:t>
            </w:r>
          </w:p>
        </w:tc>
        <w:tc>
          <w:tcPr/>
          <w:p>
            <w:pPr>
              <w:pStyle w:val="Compact"/>
              <w:jc w:val="left"/>
            </w:pPr>
            <w:r>
              <w:t xml:space="preserve">192,500.00</w:t>
            </w:r>
          </w:p>
        </w:tc>
        <w:tc>
          <w:tcPr/>
          <w:p>
            <w:pPr>
              <w:pStyle w:val="Compact"/>
              <w:jc w:val="left"/>
            </w:pPr>
            <w:r>
              <w:t xml:space="preserve">Phase 1 — Weeks 3–6</w:t>
            </w:r>
          </w:p>
        </w:tc>
      </w:tr>
      <w:tr>
        <w:tc>
          <w:tcPr/>
          <w:p>
            <w:pPr>
              <w:pStyle w:val="Compact"/>
              <w:jc w:val="left"/>
            </w:pPr>
            <w:r>
              <w:t xml:space="preserve">03</w:t>
            </w:r>
          </w:p>
        </w:tc>
        <w:tc>
          <w:tcPr/>
          <w:p>
            <w:pPr>
              <w:pStyle w:val="Compact"/>
              <w:jc w:val="left"/>
            </w:pPr>
            <w:r>
              <w:t xml:space="preserve">TCMB / TÜB Payment Integration Module</w:t>
            </w:r>
          </w:p>
        </w:tc>
        <w:tc>
          <w:tcPr/>
          <w:p>
            <w:pPr>
              <w:pStyle w:val="Compact"/>
              <w:jc w:val="left"/>
            </w:pPr>
            <w:r>
              <w:t xml:space="preserve">1</w:t>
            </w:r>
          </w:p>
        </w:tc>
        <w:tc>
          <w:tcPr/>
          <w:p>
            <w:pPr>
              <w:pStyle w:val="Compact"/>
              <w:jc w:val="left"/>
            </w:pPr>
            <w:r>
              <w:t xml:space="preserve">87,000.00</w:t>
            </w:r>
          </w:p>
        </w:tc>
        <w:tc>
          <w:tcPr/>
          <w:p>
            <w:pPr>
              <w:pStyle w:val="Compact"/>
              <w:jc w:val="left"/>
            </w:pPr>
            <w:r>
              <w:t xml:space="preserve">87,000.00</w:t>
            </w:r>
          </w:p>
        </w:tc>
        <w:tc>
          <w:tcPr/>
          <w:p>
            <w:pPr>
              <w:pStyle w:val="Compact"/>
              <w:jc w:val="left"/>
            </w:pPr>
            <w:r>
              <w:t xml:space="preserve">Phase 2 — Weeks 5–8</w:t>
            </w:r>
          </w:p>
        </w:tc>
      </w:tr>
      <w:tr>
        <w:tc>
          <w:tcPr/>
          <w:p>
            <w:pPr>
              <w:pStyle w:val="Compact"/>
              <w:jc w:val="left"/>
            </w:pPr>
            <w:r>
              <w:t xml:space="preserve">04</w:t>
            </w:r>
          </w:p>
        </w:tc>
        <w:tc>
          <w:tcPr/>
          <w:p>
            <w:pPr>
              <w:pStyle w:val="Compact"/>
              <w:jc w:val="left"/>
            </w:pPr>
            <w:r>
              <w:t xml:space="preserve">AML / KYC Compliance Suite (BDDK-aligned, Ankara jurisdiction)</w:t>
            </w:r>
          </w:p>
        </w:tc>
        <w:tc>
          <w:tcPr/>
          <w:p>
            <w:pPr>
              <w:pStyle w:val="Compact"/>
              <w:jc w:val="left"/>
            </w:pPr>
            <w:r>
              <w:t xml:space="preserve">1</w:t>
            </w:r>
          </w:p>
        </w:tc>
        <w:tc>
          <w:tcPr/>
          <w:p>
            <w:pPr>
              <w:pStyle w:val="Compact"/>
              <w:jc w:val="left"/>
            </w:pPr>
            <w:r>
              <w:t xml:space="preserve">134,000.00</w:t>
            </w:r>
          </w:p>
        </w:tc>
        <w:tc>
          <w:tcPr/>
          <w:p>
            <w:pPr>
              <w:pStyle w:val="Compact"/>
              <w:jc w:val="left"/>
            </w:pPr>
            <w:r>
              <w:t xml:space="preserve">134,000.00</w:t>
            </w:r>
          </w:p>
        </w:tc>
        <w:tc>
          <w:tcPr/>
          <w:p>
            <w:pPr>
              <w:pStyle w:val="Compact"/>
              <w:jc w:val="left"/>
            </w:pPr>
            <w:r>
              <w:t xml:space="preserve">Phase 2 — Weeks 6–9</w:t>
            </w:r>
          </w:p>
        </w:tc>
      </w:tr>
      <w:tr>
        <w:tc>
          <w:tcPr/>
          <w:p>
            <w:pPr>
              <w:pStyle w:val="Compact"/>
              <w:jc w:val="left"/>
            </w:pPr>
            <w:r>
              <w:t xml:space="preserve">05</w:t>
            </w:r>
          </w:p>
        </w:tc>
        <w:tc>
          <w:tcPr/>
          <w:p>
            <w:pPr>
              <w:pStyle w:val="Compact"/>
              <w:jc w:val="left"/>
            </w:pPr>
            <w:r>
              <w:t xml:space="preserve">Server Hardware (Dell PowerEdge R760, 64GB RAM, 4TB SSD)</w:t>
            </w:r>
          </w:p>
        </w:tc>
        <w:tc>
          <w:tcPr/>
          <w:p>
            <w:pPr>
              <w:pStyle w:val="Compact"/>
              <w:jc w:val="left"/>
            </w:pPr>
            <w:r>
              <w:t xml:space="preserve">14</w:t>
            </w:r>
          </w:p>
        </w:tc>
        <w:tc>
          <w:tcPr/>
          <w:p>
            <w:pPr>
              <w:pStyle w:val="Compact"/>
              <w:jc w:val="left"/>
            </w:pPr>
            <w:r>
              <w:t xml:space="preserve">12,800.00</w:t>
            </w:r>
          </w:p>
        </w:tc>
        <w:tc>
          <w:tcPr/>
          <w:p>
            <w:pPr>
              <w:pStyle w:val="Compact"/>
              <w:jc w:val="left"/>
            </w:pPr>
            <w:r>
              <w:t xml:space="preserve">179,200.00</w:t>
            </w:r>
          </w:p>
        </w:tc>
        <w:tc>
          <w:tcPr/>
          <w:p>
            <w:pPr>
              <w:pStyle w:val="Compact"/>
              <w:jc w:val="left"/>
            </w:pPr>
            <w:r>
              <w:t xml:space="preserve">Phase 1 — Weeks 1–3</w:t>
            </w:r>
          </w:p>
        </w:tc>
      </w:tr>
      <w:tr>
        <w:tc>
          <w:tcPr/>
          <w:p>
            <w:pPr>
              <w:pStyle w:val="Compact"/>
              <w:jc w:val="left"/>
            </w:pPr>
            <w:r>
              <w:t xml:space="preserve">06</w:t>
            </w:r>
          </w:p>
        </w:tc>
        <w:tc>
          <w:tcPr/>
          <w:p>
            <w:pPr>
              <w:pStyle w:val="Compact"/>
              <w:jc w:val="left"/>
            </w:pPr>
            <w:r>
              <w:t xml:space="preserve">Network Infrastructure (Catalyst 9300 Switches, Fiber Optic Cabling)</w:t>
            </w:r>
          </w:p>
        </w:tc>
        <w:tc>
          <w:tcPr/>
          <w:p>
            <w:pPr>
              <w:pStyle w:val="Compact"/>
              <w:jc w:val="left"/>
            </w:pPr>
            <w:r>
              <w:t xml:space="preserve">6</w:t>
            </w:r>
          </w:p>
        </w:tc>
        <w:tc>
          <w:tcPr/>
          <w:p>
            <w:pPr>
              <w:pStyle w:val="Compact"/>
              <w:jc w:val="left"/>
            </w:pPr>
            <w:r>
              <w:t xml:space="preserve">8,450.00</w:t>
            </w:r>
          </w:p>
        </w:tc>
        <w:tc>
          <w:tcPr/>
          <w:p>
            <w:pPr>
              <w:pStyle w:val="Compact"/>
              <w:jc w:val="left"/>
            </w:pPr>
            <w:r>
              <w:t xml:space="preserve">50,700.00</w:t>
            </w:r>
          </w:p>
        </w:tc>
        <w:tc>
          <w:tcPr/>
          <w:p>
            <w:pPr>
              <w:pStyle w:val="Compact"/>
              <w:jc w:val="left"/>
            </w:pPr>
            <w:r>
              <w:t xml:space="preserve">Phase 1 — Weeks 2–4</w:t>
            </w:r>
          </w:p>
        </w:tc>
      </w:tr>
      <w:tr>
        <w:tc>
          <w:tcPr/>
          <w:p>
            <w:pPr>
              <w:pStyle w:val="Compact"/>
              <w:jc w:val="left"/>
            </w:pPr>
            <w:r>
              <w:t xml:space="preserve">07</w:t>
            </w:r>
          </w:p>
        </w:tc>
        <w:tc>
          <w:tcPr/>
          <w:p>
            <w:pPr>
              <w:pStyle w:val="Compact"/>
              <w:jc w:val="left"/>
            </w:pPr>
            <w:r>
              <w:t xml:space="preserve">Redundant UPS Systems (30kVA, 4-hour autonomy)</w:t>
            </w:r>
          </w:p>
        </w:tc>
        <w:tc>
          <w:tcPr/>
          <w:p>
            <w:pPr>
              <w:pStyle w:val="Compact"/>
              <w:jc w:val="left"/>
            </w:pPr>
            <w:r>
              <w:t xml:space="preserve">2</w:t>
            </w:r>
          </w:p>
        </w:tc>
        <w:tc>
          <w:tcPr/>
          <w:p>
            <w:pPr>
              <w:pStyle w:val="Compact"/>
              <w:jc w:val="left"/>
            </w:pPr>
            <w:r>
              <w:t xml:space="preserve">22,300.00</w:t>
            </w:r>
          </w:p>
        </w:tc>
        <w:tc>
          <w:tcPr/>
          <w:p>
            <w:pPr>
              <w:pStyle w:val="Compact"/>
              <w:jc w:val="left"/>
            </w:pPr>
            <w:r>
              <w:t xml:space="preserve">44,600.00</w:t>
            </w:r>
          </w:p>
        </w:tc>
        <w:tc>
          <w:tcPr/>
          <w:p>
            <w:pPr>
              <w:pStyle w:val="Compact"/>
              <w:jc w:val="left"/>
            </w:pPr>
            <w:r>
              <w:t xml:space="preserve">Phase 1 — Weeks 2–3</w:t>
            </w:r>
          </w:p>
        </w:tc>
      </w:tr>
      <w:tr>
        <w:tc>
          <w:tcPr/>
          <w:p>
            <w:pPr>
              <w:pStyle w:val="Compact"/>
              <w:jc w:val="left"/>
            </w:pPr>
            <w:r>
              <w:t xml:space="preserve">08</w:t>
            </w:r>
          </w:p>
        </w:tc>
        <w:tc>
          <w:tcPr/>
          <w:p>
            <w:pPr>
              <w:pStyle w:val="Compact"/>
              <w:jc w:val="left"/>
            </w:pPr>
            <w:r>
              <w:t xml:space="preserve">Client Workstations (i7, 32GB RAM, 27" Monitor, Ankara branch)</w:t>
            </w:r>
          </w:p>
        </w:tc>
        <w:tc>
          <w:tcPr/>
          <w:p>
            <w:pPr>
              <w:pStyle w:val="Compact"/>
              <w:jc w:val="left"/>
            </w:pPr>
            <w:r>
              <w:t xml:space="preserve">40</w:t>
            </w:r>
          </w:p>
        </w:tc>
        <w:tc>
          <w:tcPr/>
          <w:p>
            <w:pPr>
              <w:pStyle w:val="Compact"/>
              <w:jc w:val="left"/>
            </w:pPr>
            <w:r>
              <w:t xml:space="preserve">2,150.00</w:t>
            </w:r>
          </w:p>
        </w:tc>
        <w:tc>
          <w:tcPr/>
          <w:p>
            <w:pPr>
              <w:pStyle w:val="Compact"/>
              <w:jc w:val="left"/>
            </w:pPr>
            <w:r>
              <w:t xml:space="preserve">86,000.00</w:t>
            </w:r>
          </w:p>
        </w:tc>
        <w:tc>
          <w:tcPr/>
          <w:p>
            <w:pPr>
              <w:pStyle w:val="Compact"/>
              <w:jc w:val="left"/>
            </w:pPr>
            <w:r>
              <w:t xml:space="preserve">Phase 1 — Weeks 3–5</w:t>
            </w:r>
          </w:p>
        </w:tc>
      </w:tr>
      <w:tr>
        <w:tc>
          <w:tcPr/>
          <w:p>
            <w:pPr>
              <w:pStyle w:val="Compact"/>
              <w:jc w:val="left"/>
            </w:pPr>
            <w:r>
              <w:t xml:space="preserve">09</w:t>
            </w:r>
          </w:p>
        </w:tc>
        <w:tc>
          <w:tcPr/>
          <w:p>
            <w:pPr>
              <w:pStyle w:val="Compact"/>
              <w:jc w:val="left"/>
            </w:pPr>
            <w:r>
              <w:t xml:space="preserve">On-Site Installation &amp; Configuration (Ankara, Turkey)</w:t>
            </w:r>
          </w:p>
        </w:tc>
        <w:tc>
          <w:tcPr/>
          <w:p>
            <w:pPr>
              <w:pStyle w:val="Compact"/>
              <w:jc w:val="left"/>
            </w:pPr>
            <w:r>
              <w:t xml:space="preserve">1</w:t>
            </w:r>
          </w:p>
        </w:tc>
        <w:tc>
          <w:tcPr/>
          <w:p>
            <w:pPr>
              <w:pStyle w:val="Compact"/>
              <w:jc w:val="left"/>
            </w:pPr>
            <w:r>
              <w:t xml:space="preserve">96,000.00</w:t>
            </w:r>
          </w:p>
        </w:tc>
        <w:tc>
          <w:tcPr/>
          <w:p>
            <w:pPr>
              <w:pStyle w:val="Compact"/>
              <w:jc w:val="left"/>
            </w:pPr>
            <w:r>
              <w:t xml:space="preserve">96,000.00</w:t>
            </w:r>
          </w:p>
        </w:tc>
        <w:tc>
          <w:tcPr/>
          <w:p>
            <w:pPr>
              <w:pStyle w:val="Compact"/>
              <w:jc w:val="left"/>
            </w:pPr>
            <w:r>
              <w:t xml:space="preserve">Phase 1–2 — Weeks 1–10</w:t>
            </w:r>
          </w:p>
        </w:tc>
      </w:tr>
      <w:tr>
        <w:tc>
          <w:tcPr/>
          <w:p>
            <w:pPr>
              <w:pStyle w:val="Compact"/>
              <w:jc w:val="left"/>
            </w:pPr>
            <w:r>
              <w:t xml:space="preserve">10</w:t>
            </w:r>
          </w:p>
        </w:tc>
        <w:tc>
          <w:tcPr/>
          <w:p>
            <w:pPr>
              <w:pStyle w:val="Compact"/>
              <w:jc w:val="left"/>
            </w:pPr>
            <w:r>
              <w:t xml:space="preserve">Staff Training Program (120 hrs, 35 personnel, Ankara HQ)</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c>
          <w:tcPr/>
          <w:p>
            <w:pPr>
              <w:pStyle w:val="Compact"/>
              <w:jc w:val="left"/>
            </w:pPr>
            <w:r>
              <w:t xml:space="preserve">Phase 3 — Weeks 10–12</w:t>
            </w:r>
          </w:p>
        </w:tc>
      </w:tr>
      <w:tr>
        <w:tc>
          <w:tcPr/>
          <w:p>
            <w:pPr>
              <w:pStyle w:val="Compact"/>
              <w:jc w:val="left"/>
            </w:pPr>
            <w:r>
              <w:t xml:space="preserve">11</w:t>
            </w:r>
          </w:p>
        </w:tc>
        <w:tc>
          <w:tcPr/>
          <w:p>
            <w:pPr>
              <w:pStyle w:val="Compact"/>
              <w:jc w:val="left"/>
            </w:pPr>
            <w:r>
              <w:t xml:space="preserve">12-Month Post-Deployment Support &amp; Maintenance (SLA 99.9%)</w:t>
            </w:r>
          </w:p>
        </w:tc>
        <w:tc>
          <w:tcPr/>
          <w:p>
            <w:pPr>
              <w:pStyle w:val="Compact"/>
              <w:jc w:val="left"/>
            </w:pPr>
            <w:r>
              <w:t xml:space="preserve">1</w:t>
            </w:r>
          </w:p>
        </w:tc>
        <w:tc>
          <w:tcPr/>
          <w:p>
            <w:pPr>
              <w:pStyle w:val="Compact"/>
              <w:jc w:val="left"/>
            </w:pPr>
            <w:r>
              <w:t xml:space="preserve">156,000.00</w:t>
            </w:r>
          </w:p>
        </w:tc>
        <w:tc>
          <w:tcPr/>
          <w:p>
            <w:pPr>
              <w:pStyle w:val="Compact"/>
              <w:jc w:val="left"/>
            </w:pPr>
            <w:r>
              <w:t xml:space="preserve">156,000.00</w:t>
            </w:r>
          </w:p>
        </w:tc>
        <w:tc>
          <w:tcPr/>
          <w:p>
            <w:pPr>
              <w:pStyle w:val="Compact"/>
              <w:jc w:val="left"/>
            </w:pPr>
            <w:r>
              <w:t xml:space="preserve">Phase 4 — Months 13–24</w:t>
            </w:r>
          </w:p>
        </w:tc>
      </w:tr>
      <w:tr>
        <w:tc>
          <w:tcPr/>
          <w:p>
            <w:pPr>
              <w:pStyle w:val="Compact"/>
              <w:jc w:val="left"/>
            </w:pPr>
            <w:r>
              <w:t xml:space="preserve">12</w:t>
            </w:r>
          </w:p>
        </w:tc>
        <w:tc>
          <w:tcPr/>
          <w:p>
            <w:pPr>
              <w:pStyle w:val="Compact"/>
              <w:jc w:val="left"/>
            </w:pPr>
            <w:r>
              <w:t xml:space="preserve">Travel, Accommodation &amp; Logistics (UK to Ankara, 6 engineers)</w:t>
            </w:r>
          </w:p>
        </w:tc>
        <w:tc>
          <w:tcPr/>
          <w:p>
            <w:pPr>
              <w:pStyle w:val="Compact"/>
              <w:jc w:val="left"/>
            </w:pPr>
            <w:r>
              <w:t xml:space="preserve">1</w:t>
            </w:r>
          </w:p>
        </w:tc>
        <w:tc>
          <w:tcPr/>
          <w:p>
            <w:pPr>
              <w:pStyle w:val="Compact"/>
              <w:jc w:val="left"/>
            </w:pPr>
            <w:r>
              <w:t xml:space="preserve">38,500.00</w:t>
            </w:r>
          </w:p>
        </w:tc>
        <w:tc>
          <w:tcPr/>
          <w:p>
            <w:pPr>
              <w:pStyle w:val="Compact"/>
              <w:jc w:val="left"/>
            </w:pPr>
            <w:r>
              <w:t xml:space="preserve">38,500.00</w:t>
            </w:r>
          </w:p>
        </w:tc>
        <w:tc>
          <w:tcPr/>
          <w:p>
            <w:pPr>
              <w:pStyle w:val="Compact"/>
              <w:jc w:val="left"/>
            </w:pPr>
            <w:r>
              <w:t xml:space="preserve">Phases 1–3</w:t>
            </w:r>
          </w:p>
        </w:tc>
      </w:tr>
      <w:tr>
        <w:tc>
          <w:tcPr>
            <w:gridSpan w:val="4"/>
          </w:tcPr>
          <w:p>
            <w:pPr>
              <w:pStyle w:val="Compact"/>
              <w:jc w:val="right"/>
            </w:pPr>
            <w:r>
              <w:t xml:space="preserve">SUBTOTAL (USD)</w:t>
            </w:r>
          </w:p>
        </w:tc>
        <w:tc>
          <w:tcPr/>
          <w:p>
            <w:pPr>
              <w:pStyle w:val="Compact"/>
              <w:jc w:val="left"/>
            </w:pPr>
            <w:r>
              <w:t xml:space="preserve">1,607,500.00</w:t>
            </w:r>
          </w:p>
        </w:tc>
        <w:tc>
          <w:tcPr/>
          <w:p>
            <w:pPr>
              <w:pStyle w:val="Compact"/>
            </w:pPr>
          </w:p>
        </w:tc>
      </w:tr>
      <w:tr>
        <w:tc>
          <w:tcPr>
            <w:gridSpan w:val="4"/>
          </w:tcPr>
          <w:p>
            <w:pPr>
              <w:pStyle w:val="Compact"/>
              <w:jc w:val="right"/>
            </w:pPr>
            <w:r>
              <w:t xml:space="preserve">Applicable VAT / Turkish Customs Duties (estimated 20%)</w:t>
            </w:r>
          </w:p>
        </w:tc>
        <w:tc>
          <w:tcPr/>
          <w:p>
            <w:pPr>
              <w:pStyle w:val="Compact"/>
              <w:jc w:val="left"/>
            </w:pPr>
            <w:r>
              <w:t xml:space="preserve">321,500.00</w:t>
            </w:r>
          </w:p>
        </w:tc>
        <w:tc>
          <w:tcPr/>
          <w:p>
            <w:pPr>
              <w:pStyle w:val="Compact"/>
            </w:pPr>
          </w:p>
        </w:tc>
      </w:tr>
      <w:tr>
        <w:tc>
          <w:tcPr>
            <w:gridSpan w:val="4"/>
          </w:tcPr>
          <w:p>
            <w:pPr>
              <w:pStyle w:val="Compact"/>
              <w:jc w:val="right"/>
            </w:pPr>
            <w:r>
              <w:t xml:space="preserve">GRAND TOTAL (USD)</w:t>
            </w:r>
          </w:p>
        </w:tc>
        <w:tc>
          <w:tcPr/>
          <w:p>
            <w:pPr>
              <w:pStyle w:val="Compact"/>
              <w:jc w:val="left"/>
            </w:pPr>
            <w:r>
              <w:t xml:space="preserve">1,929,000.00</w:t>
            </w:r>
          </w:p>
        </w:tc>
        <w:tc>
          <w:tcPr/>
          <w:p>
            <w:pPr>
              <w:pStyle w:val="Compact"/>
            </w:pPr>
          </w:p>
        </w:tc>
      </w:tr>
    </w:tbl>
    <w:bookmarkEnd w:id="24"/>
    <w:bookmarkStart w:id="25" w:name="payment-terms"/>
    <w:p>
      <w:pPr>
        <w:pStyle w:val="Heading3"/>
      </w:pPr>
      <w:r>
        <w:t xml:space="preserve">4. Payment Terms</w:t>
      </w:r>
    </w:p>
    <w:p>
      <w:pPr>
        <w:pStyle w:val="FirstParagraph"/>
      </w:pPr>
      <w:r>
        <w:t xml:space="preserve">Payment for this Quotation Estimate shall be structured as follows: 30% advance payment upon contract execution; 40% upon successful completion of Phase 2 (system integration and regulatory compliance verification in Ankara); 20% upon completion of Phase 3 (training and go-live); and 10% upon successful completion of the 90-day post-deployment stabilization period. All payments shall be made via irrevocable letter of credit issued by a bank operating in Turkey Ankara, denominated in USD, with a 30-day tenor.</w:t>
      </w:r>
    </w:p>
    <w:bookmarkEnd w:id="25"/>
    <w:bookmarkStart w:id="26" w:name="validity-conditions"/>
    <w:p>
      <w:pPr>
        <w:pStyle w:val="Heading3"/>
      </w:pPr>
      <w:r>
        <w:t xml:space="preserve">5. Validity &amp; Conditions</w:t>
      </w:r>
    </w:p>
    <w:p>
      <w:pPr>
        <w:pStyle w:val="FirstParagraph"/>
      </w:pPr>
      <w:r>
        <w:rPr>
          <w:bCs/>
          <w:b/>
        </w:rPr>
        <w:t xml:space="preserve">Important Notes regarding this Quotation Estimate:</w:t>
      </w:r>
    </w:p>
    <w:p>
      <w:pPr>
        <w:numPr>
          <w:ilvl w:val="0"/>
          <w:numId w:val="1002"/>
        </w:numPr>
        <w:pStyle w:val="Compact"/>
      </w:pPr>
      <w:r>
        <w:t xml:space="preserve">This Quotation Estimate is valid for a period of 90 calendar days from the date of issue. After expiry, all pricing, particularly hardware and currency-linked items, shall be subject to revision.</w:t>
      </w:r>
    </w:p>
    <w:p>
      <w:pPr>
        <w:numPr>
          <w:ilvl w:val="0"/>
          <w:numId w:val="1002"/>
        </w:numPr>
        <w:pStyle w:val="Compact"/>
      </w:pPr>
      <w:r>
        <w:t xml:space="preserve">All Banker software licenses are non-transferable and are specifically registered for the Ankara, Turkey deployment site. Any relocation or secondary deployment requires a separate written amendment to this Quotation Estimate.</w:t>
      </w:r>
    </w:p>
    <w:p>
      <w:pPr>
        <w:numPr>
          <w:ilvl w:val="0"/>
          <w:numId w:val="1002"/>
        </w:numPr>
        <w:pStyle w:val="Compact"/>
      </w:pPr>
      <w:r>
        <w:t xml:space="preserve">Hardware delivery to the Ankara site is subject to Turkish customs clearance and import regulations. The client is responsible for obtaining all necessary import permits and BDDK approvals prior to shipment.</w:t>
      </w:r>
    </w:p>
    <w:p>
      <w:pPr>
        <w:numPr>
          <w:ilvl w:val="0"/>
          <w:numId w:val="1002"/>
        </w:numPr>
        <w:pStyle w:val="Compact"/>
      </w:pPr>
      <w:r>
        <w:t xml:space="preserve">Exchange rate fluctuations between USD and TRY exceeding 5% during the contract period may trigger a price adjustment clause as defined in the master service agreement.</w:t>
      </w:r>
    </w:p>
    <w:p>
      <w:pPr>
        <w:numPr>
          <w:ilvl w:val="0"/>
          <w:numId w:val="1002"/>
        </w:numPr>
        <w:pStyle w:val="Compact"/>
      </w:pPr>
      <w:r>
        <w:t xml:space="preserve">This Quotation Estimate does not include costs for physical premises renovation, electrical upgrades, or fire suppression system modifications at the Ankara office. These are to be arranged separately by the client.</w:t>
      </w:r>
    </w:p>
    <w:p>
      <w:pPr>
        <w:numPr>
          <w:ilvl w:val="0"/>
          <w:numId w:val="1002"/>
        </w:numPr>
        <w:pStyle w:val="Compact"/>
      </w:pPr>
      <w:r>
        <w:t xml:space="preserve">All intellectual property related to the Banker platform remains the exclusive property of Global Banking Solutions Ltd. The client receives a limited, non-exclusive license for use within Turkey Ankara.</w:t>
      </w:r>
    </w:p>
    <w:bookmarkEnd w:id="26"/>
    <w:bookmarkStart w:id="27" w:name="acceptance-authorization"/>
    <w:p>
      <w:pPr>
        <w:pStyle w:val="Heading3"/>
      </w:pPr>
      <w:r>
        <w:t xml:space="preserve">6. Acceptance &amp; Authorization</w:t>
      </w:r>
    </w:p>
    <w:p>
      <w:pPr>
        <w:pStyle w:val="FirstParagraph"/>
      </w:pPr>
      <w:r>
        <w:t xml:space="preserve">By signing below, the client acknowledges receipt of this Quotation Estimate for the Banker solution in Turkey Ankara and agrees to the terms, conditions, pricing, and delivery schedule outlined herein. This signature constitutes a binding acceptance of the Quotation Estimate and authorizes the commencement of Phase 1 activities.</w:t>
      </w:r>
    </w:p>
    <w:p>
      <w:pPr>
        <w:pStyle w:val="BodyText"/>
      </w:pPr>
      <w:r>
        <w:rPr>
          <w:bCs/>
          <w:b/>
        </w:rPr>
        <w:t xml:space="preserve">For and on behalf of the Client:</w:t>
      </w:r>
    </w:p>
    <w:p>
      <w:pPr>
        <w:pStyle w:val="BodyText"/>
      </w:pPr>
      <w:r>
        <w:t xml:space="preserve">Merkez Finansal Hizmetler A.S.</w:t>
      </w:r>
    </w:p>
    <w:p>
      <w:pPr>
        <w:pStyle w:val="BodyText"/>
      </w:pPr>
      <w:r>
        <w:t xml:space="preserve">Authorized Signatory — Ankara, Turkey</w:t>
      </w:r>
    </w:p>
    <w:p>
      <w:pPr>
        <w:pStyle w:val="BodyText"/>
      </w:pPr>
      <w:r>
        <w:rPr>
          <w:bCs/>
          <w:b/>
        </w:rPr>
        <w:t xml:space="preserve">For and on behalf of the Supplier:</w:t>
      </w:r>
    </w:p>
    <w:p>
      <w:pPr>
        <w:pStyle w:val="BodyText"/>
      </w:pPr>
      <w:r>
        <w:t xml:space="preserve">Global Banking Solutions Ltd.</w:t>
      </w:r>
    </w:p>
    <w:p>
      <w:pPr>
        <w:pStyle w:val="BodyText"/>
      </w:pPr>
      <w:r>
        <w:t xml:space="preserve">Authorized Signatory — London, UK</w:t>
      </w:r>
    </w:p>
    <w:p>
      <w:pPr>
        <w:pStyle w:val="BodyText"/>
      </w:pPr>
      <w:r>
        <w:t xml:space="preserve">Quotation Estimate QE-BNK-ANK-2025-0472 — Banker Solution — Turkey Ankara — Page 1 of 1</w:t>
      </w:r>
    </w:p>
    <w:p>
      <w:pPr>
        <w:pStyle w:val="BodyText"/>
      </w:pPr>
      <w:r>
        <w:t xml:space="preserve">This document is confidential and intended solely for the named recipient. Unauthorized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Solution - Turkey Ankara</dc:title>
  <dc:creator/>
  <dc:language>en</dc:language>
  <cp:keywords/>
  <dcterms:created xsi:type="dcterms:W3CDTF">2026-10-10T06:25:05Z</dcterms:created>
  <dcterms:modified xsi:type="dcterms:W3CDTF">2026-10-10T06:25:05Z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