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Banker Services — Turkey Istanbul</w:t>
      </w:r>
    </w:p>
    <w:p>
      <w:pPr>
        <w:pStyle w:val="BodyText"/>
      </w:pPr>
      <w:r>
        <w:t xml:space="preserve">Ref. No: QE-BNK-IST-2025-0472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(expires 15 July 2025)</w:t>
            </w:r>
          </w:p>
        </w:tc>
      </w:tr>
      <w:tr>
        <w:tc>
          <w:tcPr/>
          <w:p>
            <w:pPr>
              <w:pStyle w:val="Compact"/>
              <w:jc w:val="left"/>
            </w:pPr>
            <w:r>
              <w:t xml:space="preserve">Prepared By</w:t>
            </w:r>
          </w:p>
        </w:tc>
        <w:tc>
          <w:tcPr/>
          <w:p>
            <w:pPr>
              <w:pStyle w:val="Compact"/>
              <w:jc w:val="left"/>
            </w:pPr>
            <w:r>
              <w:t xml:space="preserve">Meridian Financial Advisory Group — Istanbul Office</w:t>
            </w:r>
          </w:p>
        </w:tc>
      </w:tr>
      <w:tr>
        <w:tc>
          <w:tcPr/>
          <w:p>
            <w:pPr>
              <w:pStyle w:val="Compact"/>
              <w:jc w:val="left"/>
            </w:pPr>
            <w:r>
              <w:t xml:space="preserve">Prepared For</w:t>
            </w:r>
          </w:p>
        </w:tc>
        <w:tc>
          <w:tcPr/>
          <w:p>
            <w:pPr>
              <w:pStyle w:val="Compact"/>
              <w:jc w:val="left"/>
            </w:pPr>
            <w:r>
              <w:t xml:space="preserve">Client (Name to be confirmed upon acceptance)</w:t>
            </w:r>
          </w:p>
        </w:tc>
      </w:tr>
      <w:tr>
        <w:tc>
          <w:tcPr/>
          <w:p>
            <w:pPr>
              <w:pStyle w:val="Compact"/>
              <w:jc w:val="left"/>
            </w:pPr>
            <w:r>
              <w:t xml:space="preserve">Service Location</w:t>
            </w:r>
          </w:p>
        </w:tc>
        <w:tc>
          <w:tcPr/>
          <w:p>
            <w:pPr>
              <w:pStyle w:val="Compact"/>
              <w:jc w:val="left"/>
            </w:pPr>
            <w:r>
              <w:t xml:space="preserve">Levent Business District, Turkey Istanbul</w:t>
            </w:r>
          </w:p>
        </w:tc>
      </w:tr>
      <w:tr>
        <w:tc>
          <w:tcPr/>
          <w:p>
            <w:pPr>
              <w:pStyle w:val="Compact"/>
              <w:jc w:val="left"/>
            </w:pPr>
            <w:r>
              <w:t xml:space="preserve">Currency</w:t>
            </w:r>
          </w:p>
        </w:tc>
        <w:tc>
          <w:tcPr/>
          <w:p>
            <w:pPr>
              <w:pStyle w:val="Compact"/>
              <w:jc w:val="left"/>
            </w:pPr>
            <w:r>
              <w:t xml:space="preserve">United States Dollars (USD) / Turkish Lira (TRY) equivalent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Meridian Financial Advisory Group to provide a comprehensive, itemised cost breakdown for the engagement of a senior</w:t>
      </w:r>
      <w:r>
        <w:t xml:space="preserve"> </w:t>
      </w:r>
      <w:r>
        <w:t xml:space="preserve">Banker</w:t>
      </w:r>
      <w:r>
        <w:t xml:space="preserve"> </w:t>
      </w:r>
      <w:r>
        <w:t xml:space="preserve">professional to deliver strategic financial advisory, transactional banking, and corporate treasury services within the jurisdiction of</w:t>
      </w:r>
      <w:r>
        <w:t xml:space="preserve"> </w:t>
      </w:r>
      <w:r>
        <w:t xml:space="preserve">Turkey Istanbul</w:t>
      </w:r>
      <w:r>
        <w:t xml:space="preserve">. This estimate is prepared in full compliance with the regulations set forth by the Banking Regulation and Supervision Agency (BDDK) of the Republic of Turkey and aligns with the commercial practices of the Istanbul financial district.</w:t>
      </w:r>
    </w:p>
    <w:p>
      <w:pPr>
        <w:pStyle w:val="BodyText"/>
      </w:pPr>
      <w:r>
        <w:t xml:space="preserve">The</w:t>
      </w:r>
      <w:r>
        <w:t xml:space="preserve"> </w:t>
      </w:r>
      <w:r>
        <w:t xml:space="preserve">Banker</w:t>
      </w:r>
      <w:r>
        <w:t xml:space="preserve"> </w:t>
      </w:r>
      <w:r>
        <w:t xml:space="preserve">services outlined herein are specifically tailored to the unique regulatory, economic, and operational environment of</w:t>
      </w:r>
      <w:r>
        <w:t xml:space="preserve"> </w:t>
      </w:r>
      <w:r>
        <w:t xml:space="preserve">Turkey Istanbul</w:t>
      </w:r>
      <w:r>
        <w:t xml:space="preserve">, where the client will require expert navigation of local banking infrastructure, foreign exchange protocols, and corporate compliance frameworks. This</w:t>
      </w:r>
      <w:r>
        <w:t xml:space="preserve"> </w:t>
      </w:r>
      <w:r>
        <w:t xml:space="preserve">Quotation Estimate</w:t>
      </w:r>
      <w:r>
        <w:t xml:space="preserve"> </w:t>
      </w:r>
      <w:r>
        <w:t xml:space="preserve">reflects current market rates as of the date of issue and is subject to the terms and conditions stated in Section 6.</w:t>
      </w:r>
    </w:p>
    <w:bookmarkEnd w:id="21"/>
    <w:bookmarkStart w:id="22" w:name="X5b042094626c0a97611744867b9937ebba9a25b"/>
    <w:p>
      <w:pPr>
        <w:pStyle w:val="Heading2"/>
      </w:pPr>
      <w:r>
        <w:t xml:space="preserve">2. Scope of Banker Services in Turkey Istanbul</w:t>
      </w:r>
    </w:p>
    <w:p>
      <w:pPr>
        <w:pStyle w:val="FirstParagraph"/>
      </w:pPr>
      <w:r>
        <w:t xml:space="preserve">The engaged</w:t>
      </w:r>
      <w:r>
        <w:t xml:space="preserve"> </w:t>
      </w:r>
      <w:r>
        <w:t xml:space="preserve">Banker</w:t>
      </w:r>
      <w:r>
        <w:t xml:space="preserve"> </w:t>
      </w:r>
      <w:r>
        <w:t xml:space="preserve">shall provide the following professional services, all to be executed primarily at the client's designated premises in</w:t>
      </w:r>
      <w:r>
        <w:t xml:space="preserve"> </w:t>
      </w:r>
      <w:r>
        <w:t xml:space="preserve">Turkey Istanbul</w:t>
      </w:r>
      <w:r>
        <w:t xml:space="preserve"> </w:t>
      </w:r>
      <w:r>
        <w:t xml:space="preserve">or at the Meridian Financial Advisory Group office located in the Levent Financial Centre, Istanbul:</w:t>
      </w:r>
    </w:p>
    <w:p>
      <w:pPr>
        <w:numPr>
          <w:ilvl w:val="0"/>
          <w:numId w:val="1001"/>
        </w:numPr>
        <w:pStyle w:val="Compact"/>
      </w:pPr>
      <w:r>
        <w:t xml:space="preserve">Strategic corporate banking advisory and relationship management with Tier-1 Turkish and international banks operating in Istanbul.</w:t>
      </w:r>
    </w:p>
    <w:p>
      <w:pPr>
        <w:numPr>
          <w:ilvl w:val="0"/>
          <w:numId w:val="1001"/>
        </w:numPr>
        <w:pStyle w:val="Compact"/>
      </w:pPr>
      <w:r>
        <w:t xml:space="preserve">Transaction structuring, including trade finance, letters of credit, and documentary collections compliant with Turkish Commercial Code provisions.</w:t>
      </w:r>
    </w:p>
    <w:p>
      <w:pPr>
        <w:numPr>
          <w:ilvl w:val="0"/>
          <w:numId w:val="1001"/>
        </w:numPr>
        <w:pStyle w:val="Compact"/>
      </w:pPr>
      <w:r>
        <w:t xml:space="preserve">Foreign exchange risk management and hedging strategy development specific to the TRY/USD and TRY/EUR corridors prevalent in</w:t>
      </w:r>
      <w:r>
        <w:t xml:space="preserve"> </w:t>
      </w:r>
      <w:r>
        <w:t xml:space="preserve">Turkey Istanbul</w:t>
      </w:r>
      <w:r>
        <w:t xml:space="preserve">.</w:t>
      </w:r>
    </w:p>
    <w:p>
      <w:pPr>
        <w:numPr>
          <w:ilvl w:val="0"/>
          <w:numId w:val="1001"/>
        </w:numPr>
        <w:pStyle w:val="Compact"/>
      </w:pPr>
      <w:r>
        <w:t xml:space="preserve">Corporate treasury optimisation, cash flow forecasting, and liquidity management for operations based in Istanbul.</w:t>
      </w:r>
    </w:p>
    <w:p>
      <w:pPr>
        <w:numPr>
          <w:ilvl w:val="0"/>
          <w:numId w:val="1001"/>
        </w:numPr>
        <w:pStyle w:val="Compact"/>
      </w:pPr>
      <w:r>
        <w:t xml:space="preserve">Regulatory compliance review in accordance with BDDK directives, Capital Markets Board (SPK) requirements, and anti-money laundering (AML) obligations applicable in Turkey.</w:t>
      </w:r>
    </w:p>
    <w:p>
      <w:pPr>
        <w:numPr>
          <w:ilvl w:val="0"/>
          <w:numId w:val="1001"/>
        </w:numPr>
        <w:pStyle w:val="Compact"/>
      </w:pPr>
      <w:r>
        <w:t xml:space="preserve">Due diligence support for cross-border banking relationships and correspondent banking arrangements.</w:t>
      </w:r>
    </w:p>
    <w:p>
      <w:pPr>
        <w:numPr>
          <w:ilvl w:val="0"/>
          <w:numId w:val="1001"/>
        </w:numPr>
        <w:pStyle w:val="Compact"/>
      </w:pPr>
      <w:r>
        <w:t xml:space="preserve">Quarterly financial performance reviews and board-level reporting in English and Turkish.</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Banker Service</w:t>
            </w:r>
          </w:p>
        </w:tc>
        <w:tc>
          <w:tcPr/>
          <w:p>
            <w:pPr>
              <w:pStyle w:val="Compact"/>
              <w:jc w:val="left"/>
            </w:pPr>
            <w:r>
              <w:t xml:space="preserve">Duration / Frequency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Banker — Strategic Advisory &amp; Relationship Management (on-site, Turkey Istanbul)</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Transaction Structuring &amp; Trade Finance Advisory</w:t>
            </w:r>
          </w:p>
        </w:tc>
        <w:tc>
          <w:tcPr/>
          <w:p>
            <w:pPr>
              <w:pStyle w:val="Compact"/>
              <w:jc w:val="left"/>
            </w:pPr>
            <w:r>
              <w:t xml:space="preserve">Per engagement (est. 6 engagements)</w:t>
            </w:r>
          </w:p>
        </w:tc>
        <w:tc>
          <w:tcPr/>
          <w:p>
            <w:pPr>
              <w:pStyle w:val="Compact"/>
              <w:jc w:val="left"/>
            </w:pPr>
            <w:r>
              <w:t xml:space="preserve">$4,200 / engagement</w:t>
            </w:r>
          </w:p>
        </w:tc>
        <w:tc>
          <w:tcPr/>
          <w:p>
            <w:pPr>
              <w:pStyle w:val="Compact"/>
              <w:jc w:val="left"/>
            </w:pPr>
            <w:r>
              <w:t xml:space="preserve">$25,200</w:t>
            </w:r>
          </w:p>
        </w:tc>
      </w:tr>
      <w:tr>
        <w:tc>
          <w:tcPr/>
          <w:p>
            <w:pPr>
              <w:pStyle w:val="Compact"/>
              <w:jc w:val="left"/>
            </w:pPr>
            <w:r>
              <w:t xml:space="preserve">03</w:t>
            </w:r>
          </w:p>
        </w:tc>
        <w:tc>
          <w:tcPr/>
          <w:p>
            <w:pPr>
              <w:pStyle w:val="Compact"/>
              <w:jc w:val="left"/>
            </w:pPr>
            <w:r>
              <w:t xml:space="preserve">FX Risk Management &amp; Hedging Strategy (TRY/USD, TRY/EUR)</w:t>
            </w:r>
          </w:p>
        </w:tc>
        <w:tc>
          <w:tcPr/>
          <w:p>
            <w:pPr>
              <w:pStyle w:val="Compact"/>
              <w:jc w:val="left"/>
            </w:pPr>
            <w:r>
              <w:t xml:space="preserve">Quarterly (4 sessions)</w:t>
            </w:r>
          </w:p>
        </w:tc>
        <w:tc>
          <w:tcPr/>
          <w:p>
            <w:pPr>
              <w:pStyle w:val="Compact"/>
              <w:jc w:val="left"/>
            </w:pPr>
            <w:r>
              <w:t xml:space="preserve">$3,800 / session</w:t>
            </w:r>
          </w:p>
        </w:tc>
        <w:tc>
          <w:tcPr/>
          <w:p>
            <w:pPr>
              <w:pStyle w:val="Compact"/>
              <w:jc w:val="left"/>
            </w:pPr>
            <w:r>
              <w:t xml:space="preserve">$15,200</w:t>
            </w:r>
          </w:p>
        </w:tc>
      </w:tr>
      <w:tr>
        <w:tc>
          <w:tcPr/>
          <w:p>
            <w:pPr>
              <w:pStyle w:val="Compact"/>
              <w:jc w:val="left"/>
            </w:pPr>
            <w:r>
              <w:t xml:space="preserve">04</w:t>
            </w:r>
          </w:p>
        </w:tc>
        <w:tc>
          <w:tcPr/>
          <w:p>
            <w:pPr>
              <w:pStyle w:val="Compact"/>
              <w:jc w:val="left"/>
            </w:pPr>
            <w:r>
              <w:t xml:space="preserve">Corporate Treasury &amp; Liquidity Management Review</w:t>
            </w:r>
          </w:p>
        </w:tc>
        <w:tc>
          <w:tcPr/>
          <w:p>
            <w:pPr>
              <w:pStyle w:val="Compact"/>
              <w:jc w:val="left"/>
            </w:pPr>
            <w:r>
              <w:t xml:space="preserve">Monthly (12 sessions)</w:t>
            </w:r>
          </w:p>
        </w:tc>
        <w:tc>
          <w:tcPr/>
          <w:p>
            <w:pPr>
              <w:pStyle w:val="Compact"/>
              <w:jc w:val="left"/>
            </w:pPr>
            <w:r>
              <w:t xml:space="preserve">$2,100 / session</w:t>
            </w:r>
          </w:p>
        </w:tc>
        <w:tc>
          <w:tcPr/>
          <w:p>
            <w:pPr>
              <w:pStyle w:val="Compact"/>
              <w:jc w:val="left"/>
            </w:pPr>
            <w:r>
              <w:t xml:space="preserve">$25,200</w:t>
            </w:r>
          </w:p>
        </w:tc>
      </w:tr>
      <w:tr>
        <w:tc>
          <w:tcPr/>
          <w:p>
            <w:pPr>
              <w:pStyle w:val="Compact"/>
              <w:jc w:val="left"/>
            </w:pPr>
            <w:r>
              <w:t xml:space="preserve">05</w:t>
            </w:r>
          </w:p>
        </w:tc>
        <w:tc>
          <w:tcPr/>
          <w:p>
            <w:pPr>
              <w:pStyle w:val="Compact"/>
              <w:jc w:val="left"/>
            </w:pPr>
            <w:r>
              <w:t xml:space="preserve">Regulatory Compliance &amp; BDDK Reporting Support (Turkey Istanbul jurisdiction)</w:t>
            </w:r>
          </w:p>
        </w:tc>
        <w:tc>
          <w:tcPr/>
          <w:p>
            <w:pPr>
              <w:pStyle w:val="Compact"/>
              <w:jc w:val="left"/>
            </w:pPr>
            <w:r>
              <w:t xml:space="preserve">Quarterly (4 sessions)</w:t>
            </w:r>
          </w:p>
        </w:tc>
        <w:tc>
          <w:tcPr/>
          <w:p>
            <w:pPr>
              <w:pStyle w:val="Compact"/>
              <w:jc w:val="left"/>
            </w:pPr>
            <w:r>
              <w:t xml:space="preserve">$5,500 / session</w:t>
            </w:r>
          </w:p>
        </w:tc>
        <w:tc>
          <w:tcPr/>
          <w:p>
            <w:pPr>
              <w:pStyle w:val="Compact"/>
              <w:jc w:val="left"/>
            </w:pPr>
            <w:r>
              <w:t xml:space="preserve">$22,000</w:t>
            </w:r>
          </w:p>
        </w:tc>
      </w:tr>
      <w:tr>
        <w:tc>
          <w:tcPr/>
          <w:p>
            <w:pPr>
              <w:pStyle w:val="Compact"/>
              <w:jc w:val="left"/>
            </w:pPr>
            <w:r>
              <w:t xml:space="preserve">06</w:t>
            </w:r>
          </w:p>
        </w:tc>
        <w:tc>
          <w:tcPr/>
          <w:p>
            <w:pPr>
              <w:pStyle w:val="Compact"/>
              <w:jc w:val="left"/>
            </w:pPr>
            <w:r>
              <w:t xml:space="preserve">Due Diligence &amp; Correspondent Banking Coordination</w:t>
            </w:r>
          </w:p>
        </w:tc>
        <w:tc>
          <w:tcPr/>
          <w:p>
            <w:pPr>
              <w:pStyle w:val="Compact"/>
              <w:jc w:val="left"/>
            </w:pPr>
            <w:r>
              <w:t xml:space="preserve">Per project (est. 3 projects)</w:t>
            </w:r>
          </w:p>
        </w:tc>
        <w:tc>
          <w:tcPr/>
          <w:p>
            <w:pPr>
              <w:pStyle w:val="Compact"/>
              <w:jc w:val="left"/>
            </w:pPr>
            <w:r>
              <w:t xml:space="preserve">$7,800 / project</w:t>
            </w:r>
          </w:p>
        </w:tc>
        <w:tc>
          <w:tcPr/>
          <w:p>
            <w:pPr>
              <w:pStyle w:val="Compact"/>
              <w:jc w:val="left"/>
            </w:pPr>
            <w:r>
              <w:t xml:space="preserve">$23,400</w:t>
            </w:r>
          </w:p>
        </w:tc>
      </w:tr>
      <w:tr>
        <w:tc>
          <w:tcPr/>
          <w:p>
            <w:pPr>
              <w:pStyle w:val="Compact"/>
              <w:jc w:val="left"/>
            </w:pPr>
            <w:r>
              <w:t xml:space="preserve">07</w:t>
            </w:r>
          </w:p>
        </w:tc>
        <w:tc>
          <w:tcPr/>
          <w:p>
            <w:pPr>
              <w:pStyle w:val="Compact"/>
              <w:jc w:val="left"/>
            </w:pPr>
            <w:r>
              <w:t xml:space="preserve">Board-Level Reporting &amp; Quarterly Financial Reviews (bilingual EN/TR)</w:t>
            </w:r>
          </w:p>
        </w:tc>
        <w:tc>
          <w:tcPr/>
          <w:p>
            <w:pPr>
              <w:pStyle w:val="Compact"/>
              <w:jc w:val="left"/>
            </w:pPr>
            <w:r>
              <w:t xml:space="preserve">Quarterly (4 sessions)</w:t>
            </w:r>
          </w:p>
        </w:tc>
        <w:tc>
          <w:tcPr/>
          <w:p>
            <w:pPr>
              <w:pStyle w:val="Compact"/>
              <w:jc w:val="left"/>
            </w:pPr>
            <w:r>
              <w:t xml:space="preserve">$3,200 / session</w:t>
            </w:r>
          </w:p>
        </w:tc>
        <w:tc>
          <w:tcPr/>
          <w:p>
            <w:pPr>
              <w:pStyle w:val="Compact"/>
              <w:jc w:val="left"/>
            </w:pPr>
            <w:r>
              <w:t xml:space="preserve">$12,800</w:t>
            </w:r>
          </w:p>
        </w:tc>
      </w:tr>
      <w:tr>
        <w:tc>
          <w:tcPr/>
          <w:p>
            <w:pPr>
              <w:pStyle w:val="Compact"/>
              <w:jc w:val="left"/>
            </w:pPr>
            <w:r>
              <w:t xml:space="preserve">08</w:t>
            </w:r>
          </w:p>
        </w:tc>
        <w:tc>
          <w:tcPr/>
          <w:p>
            <w:pPr>
              <w:pStyle w:val="Compact"/>
              <w:jc w:val="left"/>
            </w:pPr>
            <w:r>
              <w:t xml:space="preserve">Travel, Accommodation &amp; Local Logistics within Turkey Istanbul</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$8,600</w:t>
            </w:r>
          </w:p>
        </w:tc>
      </w:tr>
      <w:tr>
        <w:tc>
          <w:tcPr>
            <w:gridSpan w:val="4"/>
          </w:tcPr>
          <w:p>
            <w:pPr>
              <w:pStyle w:val="Compact"/>
              <w:jc w:val="left"/>
            </w:pPr>
            <w:r>
              <w:t xml:space="preserve">Subtotal (USD)</w:t>
            </w:r>
          </w:p>
        </w:tc>
        <w:tc>
          <w:tcPr/>
          <w:p>
            <w:pPr>
              <w:pStyle w:val="Compact"/>
              <w:jc w:val="left"/>
            </w:pPr>
            <w:r>
              <w:t xml:space="preserve">$354,400</w:t>
            </w:r>
          </w:p>
        </w:tc>
      </w:tr>
      <w:tr>
        <w:tc>
          <w:tcPr>
            <w:gridSpan w:val="4"/>
          </w:tcPr>
          <w:p>
            <w:pPr>
              <w:pStyle w:val="Compact"/>
              <w:jc w:val="left"/>
            </w:pPr>
            <w:r>
              <w:t xml:space="preserve">VAT (20% — applicable per Turkish tax law)</w:t>
            </w:r>
          </w:p>
        </w:tc>
        <w:tc>
          <w:tcPr/>
          <w:p>
            <w:pPr>
              <w:pStyle w:val="Compact"/>
              <w:jc w:val="left"/>
            </w:pPr>
            <w:r>
              <w:t xml:space="preserve">$70,880</w:t>
            </w:r>
          </w:p>
        </w:tc>
      </w:tr>
      <w:tr>
        <w:tc>
          <w:tcPr>
            <w:gridSpan w:val="4"/>
          </w:tcPr>
          <w:p>
            <w:pPr>
              <w:pStyle w:val="Compact"/>
              <w:jc w:val="left"/>
            </w:pPr>
            <w:r>
              <w:t xml:space="preserve">TOTAL ESTIMATED COST (USD)</w:t>
            </w:r>
          </w:p>
        </w:tc>
        <w:tc>
          <w:tcPr/>
          <w:p>
            <w:pPr>
              <w:pStyle w:val="Compact"/>
              <w:jc w:val="left"/>
            </w:pPr>
            <w:r>
              <w:t xml:space="preserve">$425,280</w:t>
            </w:r>
          </w:p>
        </w:tc>
      </w:tr>
    </w:tbl>
    <w:bookmarkEnd w:id="23"/>
    <w:bookmarkStart w:id="24" w:name="payment-terms"/>
    <w:p>
      <w:pPr>
        <w:pStyle w:val="Heading2"/>
      </w:pPr>
      <w:r>
        <w:t xml:space="preserve">4. Payment Terms</w:t>
      </w:r>
    </w:p>
    <w:p>
      <w:pPr>
        <w:pStyle w:val="FirstParagraph"/>
      </w:pPr>
      <w:r>
        <w:t xml:space="preserve">Payment for the</w:t>
      </w:r>
      <w:r>
        <w:t xml:space="preserve"> </w:t>
      </w:r>
      <w:r>
        <w:t xml:space="preserve">Banker</w:t>
      </w:r>
      <w:r>
        <w:t xml:space="preserve"> </w:t>
      </w:r>
      <w:r>
        <w:t xml:space="preserve">services described in this</w:t>
      </w:r>
      <w:r>
        <w:t xml:space="preserve"> </w:t>
      </w:r>
      <w:r>
        <w:t xml:space="preserve">Quotation Estimate</w:t>
      </w:r>
      <w:r>
        <w:t xml:space="preserve"> </w:t>
      </w:r>
      <w:r>
        <w:t xml:space="preserve">shall be made in accordance with the following schedule: an initial retainer of 25% of the total estimated cost is due upon execution of the service agreement; the remaining balance shall be invoiced on a monthly basis in arrears, payable within 30 days of invoice date. All payments shall be remitted to the designated bank account of Meridian Financial Advisory Group, Istanbul branch, via wire transfer in USD or the TRY equivalent at the Central Bank of Turkey (TCMB) reference rate on the day of payment. Late payments shall accrue interest at the statutory rate prescribed under Turkish Commercial Code Article 30.</w:t>
      </w:r>
    </w:p>
    <w:bookmarkEnd w:id="24"/>
    <w:bookmarkStart w:id="25" w:name="assumptions-and-exclusions"/>
    <w:p>
      <w:pPr>
        <w:pStyle w:val="Heading2"/>
      </w:pPr>
      <w:r>
        <w:t xml:space="preserve">5. Assumptions and Exclusions</w:t>
      </w:r>
    </w:p>
    <w:p>
      <w:pPr>
        <w:pStyle w:val="FirstParagraph"/>
      </w:pPr>
      <w:r>
        <w:t xml:space="preserve">This</w:t>
      </w:r>
      <w:r>
        <w:t xml:space="preserve"> </w:t>
      </w:r>
      <w:r>
        <w:t xml:space="preserve">Quotation Estimate</w:t>
      </w:r>
      <w:r>
        <w:t xml:space="preserve"> </w:t>
      </w:r>
      <w:r>
        <w:t xml:space="preserve">assumes that the client will provide timely access to all necessary financial records, corporate documents, and banking credentials required for the</w:t>
      </w:r>
      <w:r>
        <w:t xml:space="preserve"> </w:t>
      </w:r>
      <w:r>
        <w:t xml:space="preserve">Banker</w:t>
      </w:r>
      <w:r>
        <w:t xml:space="preserve"> </w:t>
      </w:r>
      <w:r>
        <w:t xml:space="preserve">to perform the scoped services in</w:t>
      </w:r>
      <w:r>
        <w:t xml:space="preserve"> </w:t>
      </w:r>
      <w:r>
        <w:t xml:space="preserve">Turkey Istanbul</w:t>
      </w:r>
      <w:r>
        <w:t xml:space="preserve">. The following are excluded from this estimate: legal representation before Turkish courts, tax filing services, audit engagements, and any services requiring a separate professional licence not held by the engaged Banker. Should the scope of work expand beyond the parameters defined herein, a supplementary Quotation Estimate shall be issued prior to any additional work commencing.</w:t>
      </w:r>
    </w:p>
    <w:bookmarkEnd w:id="25"/>
    <w:bookmarkStart w:id="26" w:name="terms-and-conditions"/>
    <w:p>
      <w:pPr>
        <w:pStyle w:val="Heading2"/>
      </w:pPr>
      <w:r>
        <w:t xml:space="preserve">6. Terms and Conditions</w:t>
      </w:r>
    </w:p>
    <w:p>
      <w:pPr>
        <w:pStyle w:val="FirstParagraph"/>
      </w:pPr>
      <w:r>
        <w:t xml:space="preserve">6.1. This Quotation Estimate is valid for thirty (30) calendar days from the date of issue. Upon expiry, all rates and availability of the designated Banker are subject to reconfirmation.</w:t>
      </w:r>
    </w:p>
    <w:p>
      <w:pPr>
        <w:pStyle w:val="BodyText"/>
      </w:pPr>
      <w:r>
        <w:t xml:space="preserve">6.2. The engagement of the Banker is governed by the laws of the Republic of Turkey. Any disputes arising from this Quotation Estimate or the resulting service agreement shall be subject to the exclusive jurisdiction of the commercial courts in Istanbul, Turkey.</w:t>
      </w:r>
    </w:p>
    <w:p>
      <w:pPr>
        <w:pStyle w:val="BodyText"/>
      </w:pPr>
      <w:r>
        <w:t xml:space="preserve">6.3. The Banker shall maintain professional indemnity insurance with a minimum coverage of USD 2,000,000, valid throughout the engagement period in Turkey Istanbul.</w:t>
      </w:r>
    </w:p>
    <w:p>
      <w:pPr>
        <w:pStyle w:val="BodyText"/>
      </w:pPr>
      <w:r>
        <w:t xml:space="preserve">6.4. Confidentiality obligations shall survive the termination of the engagement for a period of five (5) years, in accordance with Turkish data protection legislation (KVKK — Law No. 6698).</w:t>
      </w:r>
    </w:p>
    <w:p>
      <w:pPr>
        <w:pStyle w:val="BodyText"/>
      </w:pPr>
      <w:r>
        <w:t xml:space="preserve">6.5. This Quotation Estimate does not constitute a binding contract until both parties have executed the formal Service Agreement in writing.</w:t>
      </w:r>
    </w:p>
    <w:bookmarkEnd w:id="26"/>
    <w:bookmarkStart w:id="27"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Banker</w:t>
      </w:r>
      <w:r>
        <w:t xml:space="preserve"> </w:t>
      </w:r>
      <w:r>
        <w:t xml:space="preserve">services in</w:t>
      </w:r>
      <w:r>
        <w:t xml:space="preserve"> </w:t>
      </w:r>
      <w:r>
        <w:t xml:space="preserve">Turkey Istanbul</w:t>
      </w:r>
      <w:r>
        <w:t xml:space="preserve"> </w:t>
      </w:r>
      <w:r>
        <w:t xml:space="preserve">and agrees to the terms, conditions, and cost structure outlined herein. This acceptance shall serve as the basis for the preparation of the definitive Service Agreement.</w:t>
      </w:r>
    </w:p>
    <w:p>
      <w:pPr>
        <w:pStyle w:val="BodyText"/>
      </w:pPr>
      <w:r>
        <w:t xml:space="preserve">Authorised Representative</w:t>
      </w:r>
      <w:r>
        <w:br/>
      </w:r>
      <w:r>
        <w:t xml:space="preserve">Meridian Financial Advisory Group</w:t>
      </w:r>
      <w:r>
        <w:br/>
      </w:r>
      <w:r>
        <w:t xml:space="preserve">Istanbul, Turkey</w:t>
      </w:r>
    </w:p>
    <w:p>
      <w:pPr>
        <w:pStyle w:val="BodyText"/>
      </w:pPr>
      <w:r>
        <w:t xml:space="preserve">Client / Authorised Signatory</w:t>
      </w:r>
      <w:r>
        <w:br/>
      </w:r>
      <w:r>
        <w:t xml:space="preserve">Name &amp; Title</w:t>
      </w:r>
      <w:r>
        <w:br/>
      </w:r>
      <w:r>
        <w:t xml:space="preserve">Date</w:t>
      </w:r>
    </w:p>
    <w:p>
      <w:pPr>
        <w:pStyle w:val="BodyText"/>
      </w:pPr>
      <w:r>
        <w:t xml:space="preserve">Document Reference: QE-BNK-IST-2025-0472 | Page 1 of 1 | This Quotation Estimate was prepared exclusively for the named client and may not be reproduced or distributed without prior written consent of Meridian Financial Advisory Group, Istanbul, Turkey.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Turkey Istanbul</dc:title>
  <dc:creator/>
  <dc:language>en</dc:language>
  <cp:keywords/>
  <dcterms:created xsi:type="dcterms:W3CDTF">2026-10-10T06:55:04Z</dcterms:created>
  <dcterms:modified xsi:type="dcterms:W3CDTF">2026-10-10T06:55:04Z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