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Banker Services — United States Houston, Texas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QE-2025-HOU-04782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Meridian Financial Advisory Group, LLC</w:t>
            </w:r>
          </w:p>
        </w:tc>
      </w:tr>
      <w:tr>
        <w:tc>
          <w:tcPr/>
          <w:p>
            <w:pPr>
              <w:pStyle w:val="Compact"/>
              <w:jc w:val="left"/>
            </w:pPr>
            <w:r>
              <w:t xml:space="preserve">Banker / Consultant:</w:t>
            </w:r>
          </w:p>
        </w:tc>
        <w:tc>
          <w:tcPr/>
          <w:p>
            <w:pPr>
              <w:pStyle w:val="Compact"/>
              <w:jc w:val="left"/>
            </w:pPr>
            <w:r>
              <w:t xml:space="preserve">Mr. Jonathan R. Whitfield, CFA, CFP — Senior Banker, Commercial &amp; Private Wealth Division</w:t>
            </w:r>
          </w:p>
        </w:tc>
      </w:tr>
      <w:tr>
        <w:tc>
          <w:tcPr/>
          <w:p>
            <w:pPr>
              <w:pStyle w:val="Compact"/>
              <w:jc w:val="left"/>
            </w:pPr>
            <w:r>
              <w:t xml:space="preserve">Service Location:</w:t>
            </w:r>
          </w:p>
        </w:tc>
        <w:tc>
          <w:tcPr/>
          <w:p>
            <w:pPr>
              <w:pStyle w:val="Compact"/>
              <w:jc w:val="left"/>
            </w:pPr>
            <w:r>
              <w:t xml:space="preserve">Houston, Texas 77002, United States</w:t>
            </w:r>
          </w:p>
        </w:tc>
      </w:tr>
      <w:tr>
        <w:tc>
          <w:tcPr/>
          <w:p>
            <w:pPr>
              <w:pStyle w:val="Compact"/>
              <w:jc w:val="left"/>
            </w:pPr>
            <w:r>
              <w:t xml:space="preserve">Client / Recipient:</w:t>
            </w:r>
          </w:p>
        </w:tc>
        <w:tc>
          <w:tcPr/>
          <w:p>
            <w:pPr>
              <w:pStyle w:val="Compact"/>
              <w:jc w:val="left"/>
            </w:pPr>
            <w:r>
              <w:t xml:space="preserve">Gulf Coast Industrial Holdings, Inc. — 1200 Smith Street, Suite 4500, Houston, TX 77002, United States</w:t>
            </w:r>
          </w:p>
        </w:tc>
      </w:tr>
      <w:tr>
        <w:tc>
          <w:tcPr/>
          <w:p>
            <w:pPr>
              <w:pStyle w:val="Compact"/>
              <w:jc w:val="left"/>
            </w:pPr>
            <w:r>
              <w:t xml:space="preserve">Contact Reference:</w:t>
            </w:r>
          </w:p>
        </w:tc>
        <w:tc>
          <w:tcPr/>
          <w:p>
            <w:pPr>
              <w:pStyle w:val="Compact"/>
              <w:jc w:val="left"/>
            </w:pPr>
            <w:r>
              <w:t xml:space="preserve">Attn: Ms. Diane K. Alvarez, Chief Financial Officer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Financial Advisory Group, LLC to formally present the cost structure, deliverables, and professional engagement terms for the services of a dedicated</w:t>
      </w:r>
      <w:r>
        <w:t xml:space="preserve"> </w:t>
      </w:r>
      <w:r>
        <w:t xml:space="preserve">Banker</w:t>
      </w:r>
      <w:r>
        <w:t xml:space="preserve"> </w:t>
      </w:r>
      <w:r>
        <w:t xml:space="preserve">to be deployed and utilized within the</w:t>
      </w:r>
      <w:r>
        <w:t xml:space="preserve"> </w:t>
      </w:r>
      <w:r>
        <w:t xml:space="preserve">United States Houston</w:t>
      </w:r>
      <w:r>
        <w:t xml:space="preserve"> </w:t>
      </w:r>
      <w:r>
        <w:t xml:space="preserve">metropolitan area. The engagement is designed to provide Gulf Coast Industrial Holdings, Inc. with comprehensive banking, financial advisory, and treasury management support tailored to the unique economic landscape of Houston and the broader Texas Gulf Coast region.</w:t>
      </w:r>
    </w:p>
    <w:p>
      <w:pPr>
        <w:pStyle w:val="BodyText"/>
      </w:pPr>
      <w:r>
        <w:t xml:space="preserve">The</w:t>
      </w:r>
      <w:r>
        <w:t xml:space="preserve"> </w:t>
      </w:r>
      <w:r>
        <w:t xml:space="preserve">Banker</w:t>
      </w:r>
      <w:r>
        <w:t xml:space="preserve"> </w:t>
      </w:r>
      <w:r>
        <w:t xml:space="preserve">referenced in this document is a fully licensed, fiduciary-level financial professional who will operate under the regulatory oversight of the Texas Department of Banking, the Federal Reserve Bank of Dallas, and all applicable United States federal financial regulations. All services described herein will be physically and operationally based in Houston, Texas, United States, ensuring local market expertise, in-person client meetings, and immediate responsiveness to the client's operational needs.</w:t>
      </w:r>
    </w:p>
    <w:bookmarkEnd w:id="21"/>
    <w:bookmarkStart w:id="22" w:name="detailed-services-and-cost-breakdown"/>
    <w:p>
      <w:pPr>
        <w:pStyle w:val="Heading2"/>
      </w:pPr>
      <w:r>
        <w:t xml:space="preserve">2. Detailed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Frequency / Duration</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Full-time dedicated Banker engagement (commercial banking, credit facilities, and loan structuring) based in Houston, United States</w:t>
            </w:r>
          </w:p>
        </w:tc>
        <w:tc>
          <w:tcPr/>
          <w:p>
            <w:pPr>
              <w:pStyle w:val="Compact"/>
              <w:jc w:val="left"/>
            </w:pPr>
            <w:r>
              <w:t xml:space="preserve">12 months (annual retainer)</w:t>
            </w:r>
          </w:p>
        </w:tc>
        <w:tc>
          <w:tcPr/>
          <w:p>
            <w:pPr>
              <w:pStyle w:val="Compact"/>
              <w:jc w:val="left"/>
            </w:pPr>
            <w:r>
              <w:t xml:space="preserve">$14,500 / month</w:t>
            </w:r>
          </w:p>
        </w:tc>
        <w:tc>
          <w:tcPr/>
          <w:p>
            <w:pPr>
              <w:pStyle w:val="Compact"/>
              <w:jc w:val="left"/>
            </w:pPr>
            <w:r>
              <w:t xml:space="preserve">$174,000.00</w:t>
            </w:r>
          </w:p>
        </w:tc>
      </w:tr>
      <w:tr>
        <w:tc>
          <w:tcPr/>
          <w:p>
            <w:pPr>
              <w:pStyle w:val="Compact"/>
              <w:jc w:val="left"/>
            </w:pPr>
            <w:r>
              <w:t xml:space="preserve">2</w:t>
            </w:r>
          </w:p>
        </w:tc>
        <w:tc>
          <w:tcPr/>
          <w:p>
            <w:pPr>
              <w:pStyle w:val="Compact"/>
              <w:jc w:val="left"/>
            </w:pPr>
            <w:r>
              <w:t xml:space="preserve">Treasury management and cash-flow optimization consulting by the assigned Banker</w:t>
            </w:r>
          </w:p>
        </w:tc>
        <w:tc>
          <w:tcPr/>
          <w:p>
            <w:pPr>
              <w:pStyle w:val="Compact"/>
              <w:jc w:val="left"/>
            </w:pPr>
            <w:r>
              <w:t xml:space="preserve">Monthly (12 sessions)</w:t>
            </w:r>
          </w:p>
        </w:tc>
        <w:tc>
          <w:tcPr/>
          <w:p>
            <w:pPr>
              <w:pStyle w:val="Compact"/>
              <w:jc w:val="left"/>
            </w:pPr>
            <w:r>
              <w:t xml:space="preserve">$2,800 / session</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Capital structure advisory and debt refinancing strategy development</w:t>
            </w:r>
          </w:p>
        </w:tc>
        <w:tc>
          <w:tcPr/>
          <w:p>
            <w:pPr>
              <w:pStyle w:val="Compact"/>
              <w:jc w:val="left"/>
            </w:pPr>
            <w:r>
              <w:t xml:space="preserve">Quarterly (4 engagements)</w:t>
            </w:r>
          </w:p>
        </w:tc>
        <w:tc>
          <w:tcPr/>
          <w:p>
            <w:pPr>
              <w:pStyle w:val="Compact"/>
              <w:jc w:val="left"/>
            </w:pPr>
            <w:r>
              <w:t xml:space="preserve">$6,500 / engagement</w:t>
            </w:r>
          </w:p>
        </w:tc>
        <w:tc>
          <w:tcPr/>
          <w:p>
            <w:pPr>
              <w:pStyle w:val="Compact"/>
              <w:jc w:val="left"/>
            </w:pPr>
            <w:r>
              <w:t xml:space="preserve">$26,000.00</w:t>
            </w:r>
          </w:p>
        </w:tc>
      </w:tr>
      <w:tr>
        <w:tc>
          <w:tcPr/>
          <w:p>
            <w:pPr>
              <w:pStyle w:val="Compact"/>
              <w:jc w:val="left"/>
            </w:pPr>
            <w:r>
              <w:t xml:space="preserve">4</w:t>
            </w:r>
          </w:p>
        </w:tc>
        <w:tc>
          <w:tcPr/>
          <w:p>
            <w:pPr>
              <w:pStyle w:val="Compact"/>
              <w:jc w:val="left"/>
            </w:pPr>
            <w:r>
              <w:t xml:space="preserve">Trade finance and letters of credit facilitation for international operations</w:t>
            </w:r>
          </w:p>
        </w:tc>
        <w:tc>
          <w:tcPr/>
          <w:p>
            <w:pPr>
              <w:pStyle w:val="Compact"/>
              <w:jc w:val="left"/>
            </w:pPr>
            <w:r>
              <w:t xml:space="preserve">As needed (estimated 8 transactions)</w:t>
            </w:r>
          </w:p>
        </w:tc>
        <w:tc>
          <w:tcPr/>
          <w:p>
            <w:pPr>
              <w:pStyle w:val="Compact"/>
              <w:jc w:val="left"/>
            </w:pPr>
            <w:r>
              <w:t xml:space="preserve">$1,200 / transaction</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Regulatory compliance review and United States federal/state banking liaison</w:t>
            </w:r>
          </w:p>
        </w:tc>
        <w:tc>
          <w:tcPr/>
          <w:p>
            <w:pPr>
              <w:pStyle w:val="Compact"/>
              <w:jc w:val="left"/>
            </w:pPr>
            <w:r>
              <w:t xml:space="preserve">Semi-annual (2 reviews)</w:t>
            </w:r>
          </w:p>
        </w:tc>
        <w:tc>
          <w:tcPr/>
          <w:p>
            <w:pPr>
              <w:pStyle w:val="Compact"/>
              <w:jc w:val="left"/>
            </w:pPr>
            <w:r>
              <w:t xml:space="preserve">$4,750 / review</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On-site meetings at client premises in Houston, Texas, United States (travel within Harris County)</w:t>
            </w:r>
          </w:p>
        </w:tc>
        <w:tc>
          <w:tcPr/>
          <w:p>
            <w:pPr>
              <w:pStyle w:val="Compact"/>
              <w:jc w:val="left"/>
            </w:pPr>
            <w:r>
              <w:t xml:space="preserve">Monthly (12 visits)</w:t>
            </w:r>
          </w:p>
        </w:tc>
        <w:tc>
          <w:tcPr/>
          <w:p>
            <w:pPr>
              <w:pStyle w:val="Compact"/>
              <w:jc w:val="left"/>
            </w:pPr>
            <w:r>
              <w:t xml:space="preserve">$450 / visit</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Emergency financial crisis management and rapid-response Banker availability (24/7 standby)</w:t>
            </w:r>
          </w:p>
        </w:tc>
        <w:tc>
          <w:tcPr/>
          <w:p>
            <w:pPr>
              <w:pStyle w:val="Compact"/>
              <w:jc w:val="left"/>
            </w:pPr>
            <w:r>
              <w:t xml:space="preserve">Annual standby fee</w:t>
            </w:r>
          </w:p>
        </w:tc>
        <w:tc>
          <w:tcPr/>
          <w:p>
            <w:pPr>
              <w:pStyle w:val="Compact"/>
              <w:jc w:val="left"/>
            </w:pPr>
            <w:r>
              <w:t xml:space="preserve">$3,200 / year</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Annual financial reporting, audit support coordination, and tax-adjacent banking documentation</w:t>
            </w:r>
          </w:p>
        </w:tc>
        <w:tc>
          <w:tcPr/>
          <w:p>
            <w:pPr>
              <w:pStyle w:val="Compact"/>
              <w:jc w:val="left"/>
            </w:pPr>
            <w:r>
              <w:t xml:space="preserve">Annual (1 comprehensive package)</w:t>
            </w:r>
          </w:p>
        </w:tc>
        <w:tc>
          <w:tcPr/>
          <w:p>
            <w:pPr>
              <w:pStyle w:val="Compact"/>
              <w:jc w:val="left"/>
            </w:pPr>
            <w:r>
              <w:t xml:space="preserve">$8,900 / package</w:t>
            </w:r>
          </w:p>
        </w:tc>
        <w:tc>
          <w:tcPr/>
          <w:p>
            <w:pPr>
              <w:pStyle w:val="Compact"/>
              <w:jc w:val="left"/>
            </w:pPr>
            <w:r>
              <w:t xml:space="preserve">$8,900.00</w:t>
            </w:r>
          </w:p>
        </w:tc>
      </w:tr>
      <w:tr>
        <w:tc>
          <w:tcPr>
            <w:gridSpan w:val="4"/>
          </w:tcPr>
          <w:p>
            <w:pPr>
              <w:pStyle w:val="Compact"/>
              <w:jc w:val="right"/>
            </w:pPr>
            <w:r>
              <w:t xml:space="preserve">SUBTOTAL (All Services)</w:t>
            </w:r>
          </w:p>
        </w:tc>
        <w:tc>
          <w:tcPr/>
          <w:p>
            <w:pPr>
              <w:pStyle w:val="Compact"/>
              <w:jc w:val="left"/>
            </w:pPr>
            <w:r>
              <w:t xml:space="preserve">$270,200.00</w:t>
            </w:r>
          </w:p>
        </w:tc>
      </w:tr>
      <w:tr>
        <w:tc>
          <w:tcPr>
            <w:gridSpan w:val="4"/>
          </w:tcPr>
          <w:p>
            <w:pPr>
              <w:pStyle w:val="Compact"/>
              <w:jc w:val="right"/>
            </w:pPr>
            <w:r>
              <w:t xml:space="preserve">Applicable Texas State Sales &amp; Service Tax (8.25%)</w:t>
            </w:r>
          </w:p>
        </w:tc>
        <w:tc>
          <w:tcPr/>
          <w:p>
            <w:pPr>
              <w:pStyle w:val="Compact"/>
              <w:jc w:val="left"/>
            </w:pPr>
            <w:r>
              <w:t xml:space="preserve">$22,291.50</w:t>
            </w:r>
          </w:p>
        </w:tc>
      </w:tr>
      <w:tr>
        <w:tc>
          <w:tcPr>
            <w:gridSpan w:val="4"/>
          </w:tcPr>
          <w:p>
            <w:pPr>
              <w:pStyle w:val="Compact"/>
              <w:jc w:val="right"/>
            </w:pPr>
            <w:r>
              <w:t xml:space="preserve">United States Federal Withholding &amp; Regulatory Fees</w:t>
            </w:r>
          </w:p>
        </w:tc>
        <w:tc>
          <w:tcPr/>
          <w:p>
            <w:pPr>
              <w:pStyle w:val="Compact"/>
              <w:jc w:val="left"/>
            </w:pPr>
            <w:r>
              <w:t xml:space="preserve">$2,702.00</w:t>
            </w:r>
          </w:p>
        </w:tc>
      </w:tr>
      <w:tr>
        <w:tc>
          <w:tcPr>
            <w:gridSpan w:val="4"/>
          </w:tcPr>
          <w:p>
            <w:pPr>
              <w:pStyle w:val="Compact"/>
              <w:jc w:val="right"/>
            </w:pPr>
            <w:r>
              <w:t xml:space="preserve">GRAND TOTAL (Quotation Estimate)</w:t>
            </w:r>
          </w:p>
        </w:tc>
        <w:tc>
          <w:tcPr/>
          <w:p>
            <w:pPr>
              <w:pStyle w:val="Compact"/>
              <w:jc w:val="left"/>
            </w:pPr>
            <w:r>
              <w:t xml:space="preserve">$295,193.50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After the expiration date, all rates and terms are subject to revision based on prevailing United States financial market conditions, Federal Reserve interest rate adjustments, and Texas state regulatory changes.</w:t>
      </w:r>
    </w:p>
    <w:p>
      <w:pPr>
        <w:pStyle w:val="BodyText"/>
      </w:pPr>
      <w:r>
        <w:rPr>
          <w:bCs/>
          <w:b/>
        </w:rPr>
        <w:t xml:space="preserve">3.2 Payment Schedule:</w:t>
      </w:r>
      <w:r>
        <w:t xml:space="preserve"> </w:t>
      </w:r>
      <w:r>
        <w:t xml:space="preserve">The annual retainer for the Banker engagement (Item 1) shall be invoiced on a monthly basis, due within fifteen (15) business days of invoice receipt. All other line items shall be invoiced upon completion of the respective service or engagement milestone. Payment is to be made via wire transfer to the designated United States bank account in Houston, Texas.</w:t>
      </w:r>
    </w:p>
    <w:p>
      <w:pPr>
        <w:pStyle w:val="BodyText"/>
      </w:pPr>
      <w:r>
        <w:rPr>
          <w:bCs/>
          <w:b/>
        </w:rPr>
        <w:t xml:space="preserve">3.3 Banker Availability and Location:</w:t>
      </w:r>
      <w:r>
        <w:t xml:space="preserve"> </w:t>
      </w:r>
      <w:r>
        <w:t xml:space="preserve">The assigned Banker shall maintain a primary office presence in Houston, United States, and shall be available for in-person consultations at the client's Houston premises no fewer than two (2) times per month. Remote and telephonic consultations are included at no additional charge.</w:t>
      </w:r>
    </w:p>
    <w:p>
      <w:pPr>
        <w:pStyle w:val="BodyText"/>
      </w:pPr>
      <w:r>
        <w:rPr>
          <w:bCs/>
          <w:b/>
        </w:rPr>
        <w:t xml:space="preserve">3.4 Confidentiality:</w:t>
      </w:r>
      <w:r>
        <w:t xml:space="preserve"> </w:t>
      </w:r>
      <w:r>
        <w:t xml:space="preserve">All financial data, trade secrets, and proprietary information shared during the engagement shall be treated under strict confidentiality in accordance with the Gramm-Leach-Bliley Act (GLBA), Texas Business &amp; Commerce Code, and all applicable United States federal privacy statutes.</w:t>
      </w:r>
    </w:p>
    <w:p>
      <w:pPr>
        <w:pStyle w:val="BodyText"/>
      </w:pPr>
      <w:r>
        <w:rPr>
          <w:bCs/>
          <w:b/>
        </w:rPr>
        <w:t xml:space="preserve">3.5 Termination:</w:t>
      </w:r>
      <w:r>
        <w:t xml:space="preserve"> </w:t>
      </w:r>
      <w:r>
        <w:t xml:space="preserve">Either party may terminate this engagement with sixty (60) days written notice. In the event of early termination by the client, a pro-rated fee for the remaining retainer period shall be due, subject to a maximum cap of two (2) months of the Banker retainer.</w:t>
      </w:r>
    </w:p>
    <w:p>
      <w:pPr>
        <w:pStyle w:val="BodyText"/>
      </w:pPr>
      <w:r>
        <w:rPr>
          <w:bCs/>
          <w:b/>
        </w:rPr>
        <w:t xml:space="preserve">3.6 Governing Law:</w:t>
      </w:r>
      <w:r>
        <w:t xml:space="preserve"> </w:t>
      </w:r>
      <w:r>
        <w:t xml:space="preserve">This Quotation Estimate and any resulting contract shall be governed by and construed in accordance with the laws of the State of Texas, United States, and applicable federal banking regulations. Any disputes shall be resolved through binding arbitration in Houston, Texas, under the rules of the American Arbitration Association.</w:t>
      </w:r>
    </w:p>
    <w:p>
      <w:pPr>
        <w:pStyle w:val="BodyText"/>
      </w:pPr>
      <w:r>
        <w:rPr>
          <w:bCs/>
          <w:b/>
        </w:rPr>
        <w:t xml:space="preserve">Important Note:</w:t>
      </w:r>
      <w:r>
        <w:t xml:space="preserve"> </w:t>
      </w:r>
      <w:r>
        <w:t xml:space="preserve">This Quotation Estimate is a non-binding preliminary cost projection. Final pricing may be adjusted upon completion of a full financial due-diligence review of the client's existing banking relationships, credit exposure, and operational requirements in the Houston, United States market. All figures are presented in United States Dollars (USD).</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Meridian Financial Advisory Group, LLC to proceed with the engagement of the designated Banker in Houston, United States, under the terms and conditions outlined herein.</w:t>
      </w:r>
    </w:p>
    <w:p>
      <w:pPr>
        <w:pStyle w:val="BodyText"/>
      </w:pPr>
      <w:r>
        <w:rPr>
          <w:bCs/>
          <w:b/>
        </w:rPr>
        <w:t xml:space="preserve">For: Meridian Financial Advisory Group, LLC</w:t>
      </w:r>
      <w:r>
        <w:br/>
      </w:r>
      <w:r>
        <w:t xml:space="preserve">Jonathan R. Whitfield, CFA, CFP</w:t>
      </w:r>
      <w:r>
        <w:br/>
      </w:r>
      <w:r>
        <w:t xml:space="preserve">Senior Banker — Houston, United States</w:t>
      </w:r>
      <w:r>
        <w:br/>
      </w:r>
      <w:r>
        <w:t xml:space="preserve">Date: ______________________</w:t>
      </w:r>
    </w:p>
    <w:p>
      <w:pPr>
        <w:pStyle w:val="BodyText"/>
      </w:pPr>
      <w:r>
        <w:rPr>
          <w:bCs/>
          <w:b/>
        </w:rPr>
        <w:t xml:space="preserve">For: Gulf Coast Industrial Holdings, Inc.</w:t>
      </w:r>
      <w:r>
        <w:br/>
      </w:r>
      <w:r>
        <w:t xml:space="preserve">Diane K. Alvarez, CFO</w:t>
      </w:r>
      <w:r>
        <w:br/>
      </w:r>
      <w:r>
        <w:t xml:space="preserve">Houston, TX 77002, United States</w:t>
      </w:r>
      <w:r>
        <w:br/>
      </w:r>
      <w:r>
        <w:t xml:space="preserve">Date: ______________________</w:t>
      </w:r>
    </w:p>
    <w:p>
      <w:pPr>
        <w:pStyle w:val="BodyText"/>
      </w:pPr>
      <w:r>
        <w:t xml:space="preserve">Quotation Estimate No. QE-2025-HOU-04782 — Meridian Financial Advisory Group, LLC — 1000 Louisiana Street, Suite 2100, Houston, Texas 77002, United States</w:t>
      </w:r>
      <w:r>
        <w:br/>
      </w:r>
      <w:r>
        <w:t xml:space="preserve">Tel: (713) 555-0198  |  Email: quotations@meridianfinancialhouston.com  |  NMLS ID: 482917</w:t>
      </w:r>
      <w:r>
        <w:br/>
      </w:r>
      <w:r>
        <w:t xml:space="preserve">This document is the property of Meridian Financial Advisory Group, LLC. Unauthorized reproduction is prohibited under United States federal and Texas state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United States Houston</dc:title>
  <dc:creator/>
  <dc:language>en</dc:language>
  <cp:keywords/>
  <dcterms:created xsi:type="dcterms:W3CDTF">2026-10-10T08:48:35Z</dcterms:created>
  <dcterms:modified xsi:type="dcterms:W3CDTF">2026-10-10T08:48:35Z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