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Banking Services &amp; Financial Advisory</w:t>
      </w:r>
    </w:p>
    <w:p>
      <w:pPr>
        <w:pStyle w:val="BodyText"/>
      </w:pPr>
      <w:r>
        <w:t xml:space="preserve">United States Los Angeles</w:t>
      </w:r>
    </w:p>
    <w:bookmarkEnd w:id="20"/>
    <w:bookmarkStart w:id="21" w:name="prepared-by-banker"/>
    <w:p>
      <w:pPr>
        <w:pStyle w:val="Heading3"/>
      </w:pPr>
      <w:r>
        <w:t xml:space="preserve">Prepared By (Banker)</w:t>
      </w:r>
    </w:p>
    <w:p>
      <w:pPr>
        <w:pStyle w:val="FirstParagraph"/>
      </w:pPr>
      <w:r>
        <w:rPr>
          <w:bCs/>
          <w:b/>
        </w:rPr>
        <w:t xml:space="preserve">Jonathan R. Whitfield, CFA</w:t>
      </w:r>
    </w:p>
    <w:p>
      <w:pPr>
        <w:pStyle w:val="BodyText"/>
      </w:pPr>
      <w:r>
        <w:t xml:space="preserve">Senior Banker &amp; Financial Advisor</w:t>
      </w:r>
    </w:p>
    <w:p>
      <w:pPr>
        <w:pStyle w:val="BodyText"/>
      </w:pPr>
      <w:r>
        <w:t xml:space="preserve">Meridian Pacific Banking Group</w:t>
      </w:r>
    </w:p>
    <w:p>
      <w:pPr>
        <w:pStyle w:val="BodyText"/>
      </w:pPr>
      <w:r>
        <w:t xml:space="preserve">500 S. Flower Street, Suite 2800</w:t>
      </w:r>
    </w:p>
    <w:p>
      <w:pPr>
        <w:pStyle w:val="BodyText"/>
      </w:pPr>
      <w:r>
        <w:t xml:space="preserve">Los Angeles, California 90071</w:t>
      </w:r>
    </w:p>
    <w:p>
      <w:pPr>
        <w:pStyle w:val="BodyText"/>
      </w:pPr>
      <w:r>
        <w:t xml:space="preserve">United States</w:t>
      </w:r>
    </w:p>
    <w:p>
      <w:pPr>
        <w:pStyle w:val="BodyText"/>
      </w:pPr>
      <w:r>
        <w:t xml:space="preserve">Tel: (213) 555-0147</w:t>
      </w:r>
    </w:p>
    <w:p>
      <w:pPr>
        <w:pStyle w:val="BodyText"/>
      </w:pPr>
      <w:r>
        <w:t xml:space="preserve">Email: j.whitfield@meridianpacific.com</w:t>
      </w:r>
    </w:p>
    <w:bookmarkEnd w:id="21"/>
    <w:bookmarkStart w:id="22" w:name="prepared-for-client"/>
    <w:p>
      <w:pPr>
        <w:pStyle w:val="Heading3"/>
      </w:pPr>
      <w:r>
        <w:t xml:space="preserve">Prepared For (Client)</w:t>
      </w:r>
    </w:p>
    <w:p>
      <w:pPr>
        <w:pStyle w:val="FirstParagraph"/>
      </w:pPr>
      <w:r>
        <w:rPr>
          <w:bCs/>
          <w:b/>
        </w:rPr>
        <w:t xml:space="preserve">Harborview Logistics, Inc.</w:t>
      </w:r>
    </w:p>
    <w:p>
      <w:pPr>
        <w:pStyle w:val="BodyText"/>
      </w:pPr>
      <w:r>
        <w:t xml:space="preserve">Attn: Ms. Diane K. Patterson, CFO</w:t>
      </w:r>
    </w:p>
    <w:p>
      <w:pPr>
        <w:pStyle w:val="BodyText"/>
      </w:pPr>
      <w:r>
        <w:t xml:space="preserve">1200 Alameda Street</w:t>
      </w:r>
    </w:p>
    <w:p>
      <w:pPr>
        <w:pStyle w:val="BodyText"/>
      </w:pPr>
      <w:r>
        <w:t xml:space="preserve">Los Angeles, California 90021</w:t>
      </w:r>
    </w:p>
    <w:p>
      <w:pPr>
        <w:pStyle w:val="BodyText"/>
      </w:pPr>
      <w:r>
        <w:t xml:space="preserve">United States</w:t>
      </w:r>
    </w:p>
    <w:p>
      <w:pPr>
        <w:pStyle w:val="BodyText"/>
      </w:pPr>
      <w:r>
        <w:t xml:space="preserve">Tel: (323) 555-0892</w:t>
      </w:r>
    </w:p>
    <w:p>
      <w:pPr>
        <w:pStyle w:val="BodyText"/>
      </w:pPr>
      <w:r>
        <w:t xml:space="preserve">Email: d.patterson@harborviewlogistics.com</w:t>
      </w:r>
    </w:p>
    <w:bookmarkEnd w:id="22"/>
    <w:p>
      <w:pPr>
        <w:pStyle w:val="BodyText"/>
      </w:pPr>
      <w:r>
        <w:rPr>
          <w:bCs/>
          <w:b/>
        </w:rPr>
        <w:t xml:space="preserve">Quotation Estimate No.:</w:t>
      </w:r>
      <w:r>
        <w:t xml:space="preserve"> </w:t>
      </w:r>
      <w:r>
        <w:t xml:space="preserve">QTE-2025-LA-04872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United States Los Angeles</w:t>
      </w:r>
    </w:p>
    <w:bookmarkStart w:id="23" w:name="scope-of-services"/>
    <w:p>
      <w:pPr>
        <w:pStyle w:val="Heading2"/>
      </w:pPr>
      <w:r>
        <w:t xml:space="preserve">1. Scope of Services</w:t>
      </w:r>
    </w:p>
    <w:p>
      <w:pPr>
        <w:pStyle w:val="FirstParagraph"/>
      </w:pPr>
      <w:r>
        <w:t xml:space="preserve">This Quotation Estimate is issued by Jonathan R. Whitfield, Senior Banker at Meridian Pacific Banking Group, to Harborview Logistics, Inc., for the provision of comprehensive corporate banking and financial advisory services to be rendered in the United States Los Angeles metropolitan area. The Banker has assessed the client's operational requirements, projected cash flow needs, and strategic growth objectives to formulate the following detailed estimate of professional banking services.</w:t>
      </w:r>
    </w:p>
    <w:bookmarkEnd w:id="23"/>
    <w:bookmarkStart w:id="24" w:name="line-items-cost-breakdown"/>
    <w:p>
      <w:pPr>
        <w:pStyle w:val="Heading2"/>
      </w:pPr>
      <w:r>
        <w:t xml:space="preserve">2.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(USD)</w:t>
            </w:r>
          </w:p>
        </w:tc>
        <w:tc>
          <w:tcPr/>
          <w:p>
            <w:pPr>
              <w:pStyle w:val="Compact"/>
              <w:jc w:val="left"/>
            </w:pPr>
            <w:r>
              <w:t xml:space="preserve">Estimated Qty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Corporate Checking &amp; Operating Account Management (Banker oversight)</w:t>
            </w:r>
          </w:p>
        </w:tc>
        <w:tc>
          <w:tcPr/>
          <w:p>
            <w:pPr>
              <w:pStyle w:val="Compact"/>
              <w:jc w:val="left"/>
            </w:pPr>
            <w:r>
              <w:t xml:space="preserve">Monthly</w:t>
            </w:r>
          </w:p>
        </w:tc>
        <w:tc>
          <w:tcPr/>
          <w:p>
            <w:pPr>
              <w:pStyle w:val="Compact"/>
              <w:jc w:val="left"/>
            </w:pPr>
            <w:r>
              <w:t xml:space="preserve">$1,250.00</w:t>
            </w:r>
          </w:p>
        </w:tc>
        <w:tc>
          <w:tcPr/>
          <w:p>
            <w:pPr>
              <w:pStyle w:val="Compact"/>
              <w:jc w:val="left"/>
            </w:pPr>
            <w:r>
              <w:t xml:space="preserve">12</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Commercial Loan Structuring &amp; Syndication Advisory</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Cash Flow Optimization &amp; Treasury Management (Banker-led)</w:t>
            </w:r>
          </w:p>
        </w:tc>
        <w:tc>
          <w:tcPr/>
          <w:p>
            <w:pPr>
              <w:pStyle w:val="Compact"/>
              <w:jc w:val="left"/>
            </w:pPr>
            <w:r>
              <w:t xml:space="preserve">Quarterly</w:t>
            </w:r>
          </w:p>
        </w:tc>
        <w:tc>
          <w:tcPr/>
          <w:p>
            <w:pPr>
              <w:pStyle w:val="Compact"/>
              <w:jc w:val="left"/>
            </w:pPr>
            <w:r>
              <w:t xml:space="preserve">$3,200.00</w:t>
            </w:r>
          </w:p>
        </w:tc>
        <w:tc>
          <w:tcPr/>
          <w:p>
            <w:pPr>
              <w:pStyle w:val="Compact"/>
              <w:jc w:val="left"/>
            </w:pPr>
            <w:r>
              <w:t xml:space="preserve">4</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Trade Finance &amp; Letter of Credit Issuance (Los Angeles Port operations)</w:t>
            </w:r>
          </w:p>
        </w:tc>
        <w:tc>
          <w:tcPr/>
          <w:p>
            <w:pPr>
              <w:pStyle w:val="Compact"/>
              <w:jc w:val="left"/>
            </w:pPr>
            <w:r>
              <w:t xml:space="preserve">Per transaction</w:t>
            </w:r>
          </w:p>
        </w:tc>
        <w:tc>
          <w:tcPr/>
          <w:p>
            <w:pPr>
              <w:pStyle w:val="Compact"/>
              <w:jc w:val="left"/>
            </w:pPr>
            <w:r>
              <w:t xml:space="preserve">$1,800.00</w:t>
            </w:r>
          </w:p>
        </w:tc>
        <w:tc>
          <w:tcPr/>
          <w:p>
            <w:pPr>
              <w:pStyle w:val="Compact"/>
              <w:jc w:val="left"/>
            </w:pPr>
            <w:r>
              <w:t xml:space="preserve">24</w:t>
            </w:r>
          </w:p>
        </w:tc>
        <w:tc>
          <w:tcPr/>
          <w:p>
            <w:pPr>
              <w:pStyle w:val="Compact"/>
              <w:jc w:val="left"/>
            </w:pPr>
            <w:r>
              <w:t xml:space="preserve">$43,200.00</w:t>
            </w:r>
          </w:p>
        </w:tc>
      </w:tr>
      <w:tr>
        <w:tc>
          <w:tcPr/>
          <w:p>
            <w:pPr>
              <w:pStyle w:val="Compact"/>
              <w:jc w:val="left"/>
            </w:pPr>
            <w:r>
              <w:t xml:space="preserve">5</w:t>
            </w:r>
          </w:p>
        </w:tc>
        <w:tc>
          <w:tcPr/>
          <w:p>
            <w:pPr>
              <w:pStyle w:val="Compact"/>
              <w:jc w:val="left"/>
            </w:pPr>
            <w:r>
              <w:t xml:space="preserve">Foreign Exchange Hedging &amp; Currency Risk Advisory</w:t>
            </w:r>
          </w:p>
        </w:tc>
        <w:tc>
          <w:tcPr/>
          <w:p>
            <w:pPr>
              <w:pStyle w:val="Compact"/>
              <w:jc w:val="left"/>
            </w:pPr>
            <w:r>
              <w:t xml:space="preserve">Monthly</w:t>
            </w:r>
          </w:p>
        </w:tc>
        <w:tc>
          <w:tcPr/>
          <w:p>
            <w:pPr>
              <w:pStyle w:val="Compact"/>
              <w:jc w:val="left"/>
            </w:pPr>
            <w:r>
              <w:t xml:space="preserve">$2,400.00</w:t>
            </w:r>
          </w:p>
        </w:tc>
        <w:tc>
          <w:tcPr/>
          <w:p>
            <w:pPr>
              <w:pStyle w:val="Compact"/>
              <w:jc w:val="left"/>
            </w:pPr>
            <w:r>
              <w:t xml:space="preserve">12</w:t>
            </w:r>
          </w:p>
        </w:tc>
        <w:tc>
          <w:tcPr/>
          <w:p>
            <w:pPr>
              <w:pStyle w:val="Compact"/>
              <w:jc w:val="left"/>
            </w:pPr>
            <w:r>
              <w:t xml:space="preserve">$28,800.00</w:t>
            </w:r>
          </w:p>
        </w:tc>
      </w:tr>
      <w:tr>
        <w:tc>
          <w:tcPr/>
          <w:p>
            <w:pPr>
              <w:pStyle w:val="Compact"/>
              <w:jc w:val="left"/>
            </w:pPr>
            <w:r>
              <w:t xml:space="preserve">6</w:t>
            </w:r>
          </w:p>
        </w:tc>
        <w:tc>
          <w:tcPr/>
          <w:p>
            <w:pPr>
              <w:pStyle w:val="Compact"/>
              <w:jc w:val="left"/>
            </w:pPr>
            <w:r>
              <w:t xml:space="preserve">Regulatory Compliance &amp; AML Reporting (U.S. Federal &amp; California)</w:t>
            </w:r>
          </w:p>
        </w:tc>
        <w:tc>
          <w:tcPr/>
          <w:p>
            <w:pPr>
              <w:pStyle w:val="Compact"/>
              <w:jc w:val="left"/>
            </w:pPr>
            <w:r>
              <w:t xml:space="preserve">Monthly</w:t>
            </w:r>
          </w:p>
        </w:tc>
        <w:tc>
          <w:tcPr/>
          <w:p>
            <w:pPr>
              <w:pStyle w:val="Compact"/>
              <w:jc w:val="left"/>
            </w:pPr>
            <w:r>
              <w:t xml:space="preserve">$1,600.00</w:t>
            </w:r>
          </w:p>
        </w:tc>
        <w:tc>
          <w:tcPr/>
          <w:p>
            <w:pPr>
              <w:pStyle w:val="Compact"/>
              <w:jc w:val="left"/>
            </w:pPr>
            <w:r>
              <w:t xml:space="preserve">12</w:t>
            </w:r>
          </w:p>
        </w:tc>
        <w:tc>
          <w:tcPr/>
          <w:p>
            <w:pPr>
              <w:pStyle w:val="Compact"/>
              <w:jc w:val="left"/>
            </w:pPr>
            <w:r>
              <w:t xml:space="preserve">$19,200.00</w:t>
            </w:r>
          </w:p>
        </w:tc>
      </w:tr>
      <w:tr>
        <w:tc>
          <w:tcPr/>
          <w:p>
            <w:pPr>
              <w:pStyle w:val="Compact"/>
              <w:jc w:val="left"/>
            </w:pPr>
            <w:r>
              <w:t xml:space="preserve">7</w:t>
            </w:r>
          </w:p>
        </w:tc>
        <w:tc>
          <w:tcPr/>
          <w:p>
            <w:pPr>
              <w:pStyle w:val="Compact"/>
              <w:jc w:val="left"/>
            </w:pPr>
            <w:r>
              <w:t xml:space="preserve">On-site Banker Consultation &amp; Strategic Planning Sessions</w:t>
            </w:r>
          </w:p>
        </w:tc>
        <w:tc>
          <w:tcPr/>
          <w:p>
            <w:pPr>
              <w:pStyle w:val="Compact"/>
              <w:jc w:val="left"/>
            </w:pPr>
            <w:r>
              <w:t xml:space="preserve">Bi-weekly</w:t>
            </w:r>
          </w:p>
        </w:tc>
        <w:tc>
          <w:tcPr/>
          <w:p>
            <w:pPr>
              <w:pStyle w:val="Compact"/>
              <w:jc w:val="left"/>
            </w:pPr>
            <w:r>
              <w:t xml:space="preserve">$950.00</w:t>
            </w:r>
          </w:p>
        </w:tc>
        <w:tc>
          <w:tcPr/>
          <w:p>
            <w:pPr>
              <w:pStyle w:val="Compact"/>
              <w:jc w:val="left"/>
            </w:pPr>
            <w:r>
              <w:t xml:space="preserve">26</w:t>
            </w:r>
          </w:p>
        </w:tc>
        <w:tc>
          <w:tcPr/>
          <w:p>
            <w:pPr>
              <w:pStyle w:val="Compact"/>
              <w:jc w:val="left"/>
            </w:pPr>
            <w:r>
              <w:t xml:space="preserve">$24,700.00</w:t>
            </w:r>
          </w:p>
        </w:tc>
      </w:tr>
      <w:tr>
        <w:tc>
          <w:tcPr/>
          <w:p>
            <w:pPr>
              <w:pStyle w:val="Compact"/>
              <w:jc w:val="left"/>
            </w:pPr>
            <w:r>
              <w:t xml:space="preserve">8</w:t>
            </w:r>
          </w:p>
        </w:tc>
        <w:tc>
          <w:tcPr/>
          <w:p>
            <w:pPr>
              <w:pStyle w:val="Compact"/>
              <w:jc w:val="left"/>
            </w:pPr>
            <w:r>
              <w:t xml:space="preserve">Annual Financial Health Assessment &amp; Credit Review</w:t>
            </w:r>
          </w:p>
        </w:tc>
        <w:tc>
          <w:tcPr/>
          <w:p>
            <w:pPr>
              <w:pStyle w:val="Compact"/>
              <w:jc w:val="left"/>
            </w:pPr>
            <w:r>
              <w:t xml:space="preserve">Annual</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gridSpan w:val="5"/>
          </w:tcPr>
          <w:p>
            <w:pPr>
              <w:pStyle w:val="Compact"/>
              <w:jc w:val="right"/>
            </w:pPr>
            <w:r>
              <w:t xml:space="preserve">TOTAL ESTIMATED ANNUAL FEE</w:t>
            </w:r>
          </w:p>
        </w:tc>
        <w:tc>
          <w:tcPr/>
          <w:p>
            <w:pPr>
              <w:pStyle w:val="Compact"/>
              <w:jc w:val="left"/>
            </w:pPr>
            <w:r>
              <w:t xml:space="preserve">$158,200.00</w:t>
            </w:r>
          </w:p>
        </w:tc>
      </w:tr>
    </w:tbl>
    <w:bookmarkEnd w:id="24"/>
    <w:bookmarkStart w:id="25" w:name="additional-notes-from-the-banker"/>
    <w:p>
      <w:pPr>
        <w:pStyle w:val="Heading2"/>
      </w:pPr>
      <w:r>
        <w:t xml:space="preserve">3. Additional Notes from the Banker</w:t>
      </w:r>
    </w:p>
    <w:p>
      <w:pPr>
        <w:pStyle w:val="FirstParagraph"/>
      </w:pPr>
      <w:r>
        <w:t xml:space="preserve">The undersigned Banker wishes to note that the above Quotation Estimate reflects standard professional banking fees applicable to corporate clients operating within the United States Los Angeles jurisdiction. All figures are presented in United States Dollars (USD) and are subject to the prevailing Federal Reserve interest rates and California state banking regulations as of the date of issue. The Banker reserves the right to adjust variable-rate components should the Federal Open Market Committee alter benchmark rates during the validity period of this estimate.</w:t>
      </w:r>
    </w:p>
    <w:p>
      <w:pPr>
        <w:pStyle w:val="BodyText"/>
      </w:pPr>
      <w:r>
        <w:t xml:space="preserve">Trade finance services (Line Item 4) are specifically calibrated to support Harborview Logistics' import-export operations through the Port of Los Angeles and the San Pedro Bay container terminals. The Banker will coordinate directly with the client's supply chain managers to ensure seamless documentation and settlement processes.</w:t>
      </w:r>
    </w:p>
    <w:bookmarkEnd w:id="25"/>
    <w:bookmarkStart w:id="26" w:name="terms-conditions"/>
    <w:p>
      <w:pPr>
        <w:pStyle w:val="Heading2"/>
      </w:pPr>
      <w:r>
        <w:t xml:space="preserve">4. Terms &amp; Conditions</w:t>
      </w:r>
    </w:p>
    <w:p>
      <w:pPr>
        <w:numPr>
          <w:ilvl w:val="0"/>
          <w:numId w:val="1001"/>
        </w:numPr>
        <w:pStyle w:val="Compact"/>
      </w:pPr>
      <w:r>
        <w:t xml:space="preserve">This Quotation Estimate is valid for thirty (30) calendar days from the date of issue. Upon expiration, the Banker reserves the right to revise all fee structures to reflect current market conditions in the United States Los Angeles banking sector.</w:t>
      </w:r>
    </w:p>
    <w:p>
      <w:pPr>
        <w:numPr>
          <w:ilvl w:val="0"/>
          <w:numId w:val="1001"/>
        </w:numPr>
        <w:pStyle w:val="Compact"/>
      </w:pPr>
      <w:r>
        <w:t xml:space="preserve">All services described herein shall be performed by the designated Banker or his authorized deputies at the Meridian Pacific Banking Group office located in downtown Los Angeles, California, United States.</w:t>
      </w:r>
    </w:p>
    <w:p>
      <w:pPr>
        <w:numPr>
          <w:ilvl w:val="0"/>
          <w:numId w:val="1001"/>
        </w:numPr>
        <w:pStyle w:val="Compact"/>
      </w:pPr>
      <w:r>
        <w:t xml:space="preserve">Payment terms: Invoicing shall occur on the first business day of each month for recurring services. A 1.5% late payment penalty shall apply to balances outstanding beyond thirty (30) days from the invoice date, in compliance with California Commercial Code Section 2310.</w:t>
      </w:r>
    </w:p>
    <w:p>
      <w:pPr>
        <w:numPr>
          <w:ilvl w:val="0"/>
          <w:numId w:val="1001"/>
        </w:numPr>
        <w:pStyle w:val="Compact"/>
      </w:pPr>
      <w:r>
        <w:t xml:space="preserve">The Banker shall maintain full confidentiality of all client financial data in accordance with the Gramm-Leach-Bliley Act (GLBA), the California Consumer Privacy Act (CCPA), and all applicable United States federal banking regulations.</w:t>
      </w:r>
    </w:p>
    <w:p>
      <w:pPr>
        <w:numPr>
          <w:ilvl w:val="0"/>
          <w:numId w:val="1001"/>
        </w:numPr>
        <w:pStyle w:val="Compact"/>
      </w:pPr>
      <w:r>
        <w:t xml:space="preserve">This Quotation Estimate does not constitute a binding contract until executed in writing by both parties. Acceptance of this estimate shall be confirmed via signed engagement letter.</w:t>
      </w:r>
    </w:p>
    <w:p>
      <w:pPr>
        <w:numPr>
          <w:ilvl w:val="0"/>
          <w:numId w:val="1001"/>
        </w:numPr>
        <w:pStyle w:val="Compact"/>
      </w:pPr>
      <w:r>
        <w:t xml:space="preserve">Any services beyond the scope outlined in this Quotation Estimate will be subject to a separate written addendum approved by the Banker and the client's authorized representative.</w:t>
      </w:r>
    </w:p>
    <w:p>
      <w:pPr>
        <w:numPr>
          <w:ilvl w:val="0"/>
          <w:numId w:val="1001"/>
        </w:numPr>
        <w:pStyle w:val="Compact"/>
      </w:pPr>
      <w:r>
        <w:t xml:space="preserve">Governing law: This Quotation Estimate and any resulting engagement shall be governed by the laws of the State of California and the United States of America. Disputes shall be resolved through binding arbitration in Los Angeles, California, under the rules of the American Arbitration Association.</w:t>
      </w:r>
    </w:p>
    <w:p>
      <w:pPr>
        <w:numPr>
          <w:ilvl w:val="0"/>
          <w:numId w:val="1001"/>
        </w:numPr>
        <w:pStyle w:val="Compact"/>
      </w:pPr>
      <w:r>
        <w:t xml:space="preserve">The Banker is licensed and registered with the California Department of Financial Protection and Innovation (DFPI) and the Securities and Exchange Commission (SEC). License No. CA-2019-44871.</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 Quotation Estimate and agrees to the terms, conditions, and fee structures outlined by the Banker for the provision of banking services in the United States Los Angeles area.</w:t>
      </w:r>
    </w:p>
    <w:p>
      <w:pPr>
        <w:pStyle w:val="BodyText"/>
      </w:pPr>
      <w:r>
        <w:rPr>
          <w:bCs/>
          <w:b/>
        </w:rPr>
        <w:t xml:space="preserve">Jonathan R. Whitfield, CFA</w:t>
      </w:r>
      <w:r>
        <w:br/>
      </w:r>
      <w:r>
        <w:t xml:space="preserve">Senior Banker, Meridian Pacific Banking Group</w:t>
      </w:r>
      <w:r>
        <w:br/>
      </w:r>
      <w:r>
        <w:t xml:space="preserve">Date: _______________</w:t>
      </w:r>
    </w:p>
    <w:p>
      <w:pPr>
        <w:pStyle w:val="BodyText"/>
      </w:pPr>
      <w:r>
        <w:rPr>
          <w:bCs/>
          <w:b/>
        </w:rPr>
        <w:t xml:space="preserve">Diane K. Patterson, CFO</w:t>
      </w:r>
      <w:r>
        <w:br/>
      </w:r>
      <w:r>
        <w:t xml:space="preserve">Harborview Logistics, Inc.</w:t>
      </w:r>
      <w:r>
        <w:br/>
      </w:r>
      <w:r>
        <w:t xml:space="preserve">Date: _______________</w:t>
      </w:r>
    </w:p>
    <w:p>
      <w:pPr>
        <w:pStyle w:val="BodyText"/>
      </w:pPr>
      <w:r>
        <w:t xml:space="preserve">Quotation Estimate No. QTE-2025-LA-04872 | Meridian Pacific Banking Group | 500 S. Flower Street, Los Angeles, CA 90071, United States</w:t>
      </w:r>
    </w:p>
    <w:p>
      <w:pPr>
        <w:pStyle w:val="BodyText"/>
      </w:pPr>
      <w:r>
        <w:t xml:space="preserve">This document is the property of Meridian Pacific Banking Group. Unauthorized reproduction or distribution is prohibited under United States federal law.</w:t>
      </w:r>
    </w:p>
    <w:p>
      <w:pPr>
        <w:pStyle w:val="BodyText"/>
      </w:pPr>
      <w:r>
        <w:t xml:space="preserve">Page 1 of 1 | Generated: June 12,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Banking Services - United States Los Angeles</dc:title>
  <dc:creator/>
  <dc:language>en</dc:language>
  <cp:keywords/>
  <dcterms:created xsi:type="dcterms:W3CDTF">2026-10-10T06:32:31Z</dcterms:created>
  <dcterms:modified xsi:type="dcterms:W3CDTF">2026-10-10T06:32:31Z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