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Banker Services — United States Miami</w:t>
      </w:r>
    </w:p>
    <w:p>
      <w:pPr>
        <w:pStyle w:val="BodyText"/>
      </w:pPr>
      <w:r>
        <w:t xml:space="preserve">Document Reference: QE-2025-MIA-BNK-0047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QE-2025-MIA-BNK-0047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Prepared By</w:t>
            </w:r>
          </w:p>
        </w:tc>
        <w:tc>
          <w:tcPr/>
          <w:p>
            <w:pPr>
              <w:pStyle w:val="Compact"/>
              <w:jc w:val="left"/>
            </w:pPr>
            <w:r>
              <w:t xml:space="preserve">Atlantic Meridian Financial Group, LLC</w:t>
            </w:r>
          </w:p>
        </w:tc>
        <w:tc>
          <w:tcPr/>
          <w:p>
            <w:pPr>
              <w:pStyle w:val="Compact"/>
              <w:jc w:val="left"/>
            </w:pPr>
            <w:r>
              <w:t xml:space="preserve">Location</w:t>
            </w:r>
          </w:p>
        </w:tc>
        <w:tc>
          <w:tcPr/>
          <w:p>
            <w:pPr>
              <w:pStyle w:val="Compact"/>
              <w:jc w:val="left"/>
            </w:pPr>
            <w:r>
              <w:t xml:space="preserve">Miami, Florida, United States</w:t>
            </w:r>
          </w:p>
        </w:tc>
      </w:tr>
      <w:tr>
        <w:tc>
          <w:tcPr/>
          <w:p>
            <w:pPr>
              <w:pStyle w:val="Compact"/>
              <w:jc w:val="left"/>
            </w:pPr>
            <w:r>
              <w:t xml:space="preserve">Prepared For</w:t>
            </w:r>
          </w:p>
        </w:tc>
        <w:tc>
          <w:tcPr/>
          <w:p>
            <w:pPr>
              <w:pStyle w:val="Compact"/>
              <w:jc w:val="left"/>
            </w:pPr>
            <w:r>
              <w:t xml:space="preserve">Client Name / Corporate Entity</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Service Category</w:t>
            </w:r>
          </w:p>
        </w:tc>
        <w:tc>
          <w:tcPr/>
          <w:p>
            <w:pPr>
              <w:pStyle w:val="Compact"/>
              <w:jc w:val="left"/>
            </w:pPr>
            <w:r>
              <w:t xml:space="preserve">Banker — Financial Advisory &amp; Banking Operations</w:t>
            </w:r>
          </w:p>
        </w:tc>
        <w:tc>
          <w:tcPr/>
          <w:p>
            <w:pPr>
              <w:pStyle w:val="Compact"/>
              <w:jc w:val="left"/>
            </w:pPr>
            <w:r>
              <w:t xml:space="preserve">Currency</w:t>
            </w:r>
          </w:p>
        </w:tc>
        <w:tc>
          <w:tcPr/>
          <w:p>
            <w:pPr>
              <w:pStyle w:val="Compact"/>
              <w:jc w:val="left"/>
            </w:pPr>
            <w:r>
              <w:t xml:space="preserve">United States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Atlantic Meridian Financial Group, LLC, a licensed financial services firm headquartered in Miami, Florida, United States, to provide a comprehensive and itemized cost breakdown for the engagement of a dedicated</w:t>
      </w:r>
      <w:r>
        <w:t xml:space="preserve"> </w:t>
      </w:r>
      <w:r>
        <w:t xml:space="preserve">Banker</w:t>
      </w:r>
      <w:r>
        <w:t xml:space="preserve"> </w:t>
      </w:r>
      <w:r>
        <w:t xml:space="preserve">professional. This document serves as a binding preliminary estimate for all banking, advisory, and financial management services to be rendered within the jurisdiction of</w:t>
      </w:r>
      <w:r>
        <w:t xml:space="preserve"> </w:t>
      </w:r>
      <w:r>
        <w:t xml:space="preserve">United States Miami</w:t>
      </w:r>
      <w:r>
        <w:t xml:space="preserve">, specifically covering the Miami-Dade County metropolitan area and its surrounding financial districts, including Brickell Avenue, Downtown Miami, and the Miami International Business District.</w:t>
      </w:r>
    </w:p>
    <w:p>
      <w:pPr>
        <w:pStyle w:val="BodyText"/>
      </w:pPr>
      <w:r>
        <w:t xml:space="preserve">The</w:t>
      </w:r>
      <w:r>
        <w:t xml:space="preserve"> </w:t>
      </w:r>
      <w:r>
        <w:t xml:space="preserve">Banker</w:t>
      </w:r>
      <w:r>
        <w:t xml:space="preserve"> </w:t>
      </w:r>
      <w:r>
        <w:t xml:space="preserve">services outlined in this</w:t>
      </w:r>
      <w:r>
        <w:t xml:space="preserve"> </w:t>
      </w:r>
      <w:r>
        <w:t xml:space="preserve">Quotation Estimate</w:t>
      </w:r>
      <w:r>
        <w:t xml:space="preserve"> </w:t>
      </w:r>
      <w:r>
        <w:t xml:space="preserve">are designed to meet the regulatory standards set forth by the Florida Office of Financial Regulation, the Federal Reserve Bank of Atlanta, and all applicable United States federal banking laws. All rates and fees presented herein reflect current market conditions in the</w:t>
      </w:r>
      <w:r>
        <w:t xml:space="preserve"> </w:t>
      </w:r>
      <w:r>
        <w:t xml:space="preserve">United States Miami</w:t>
      </w:r>
      <w:r>
        <w:t xml:space="preserve"> </w:t>
      </w:r>
      <w:r>
        <w:t xml:space="preserve">financial sector as of the date of issue.</w:t>
      </w:r>
    </w:p>
    <w:bookmarkEnd w:id="21"/>
    <w:bookmarkStart w:id="22" w:name="scope-of-banker-services"/>
    <w:p>
      <w:pPr>
        <w:pStyle w:val="Heading2"/>
      </w:pPr>
      <w:r>
        <w:t xml:space="preserve">2. Scope of Banker Services</w:t>
      </w:r>
    </w:p>
    <w:p>
      <w:pPr>
        <w:pStyle w:val="FirstParagraph"/>
      </w:pPr>
      <w:r>
        <w:t xml:space="preserve">The following</w:t>
      </w:r>
      <w:r>
        <w:t xml:space="preserve"> </w:t>
      </w:r>
      <w:r>
        <w:t xml:space="preserve">Banker</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United States Miami</w:t>
      </w:r>
      <w:r>
        <w:t xml:space="preserve">:</w:t>
      </w:r>
    </w:p>
    <w:p>
      <w:pPr>
        <w:numPr>
          <w:ilvl w:val="0"/>
          <w:numId w:val="1001"/>
        </w:numPr>
        <w:pStyle w:val="Compact"/>
      </w:pPr>
      <w:r>
        <w:rPr>
          <w:bCs/>
          <w:b/>
        </w:rPr>
        <w:t xml:space="preserve">Corporate Banking Advisory:</w:t>
      </w:r>
      <w:r>
        <w:t xml:space="preserve"> </w:t>
      </w:r>
      <w:r>
        <w:t xml:space="preserve">Full-spectrum advisory on commercial lending, credit facilities, treasury management, and capital structure optimization for corporate clients operating in the Miami metropolitan region.</w:t>
      </w:r>
    </w:p>
    <w:p>
      <w:pPr>
        <w:numPr>
          <w:ilvl w:val="0"/>
          <w:numId w:val="1001"/>
        </w:numPr>
        <w:pStyle w:val="Compact"/>
      </w:pPr>
      <w:r>
        <w:rPr>
          <w:bCs/>
          <w:b/>
        </w:rPr>
        <w:t xml:space="preserve">Trade Finance &amp; International Banking:</w:t>
      </w:r>
      <w:r>
        <w:t xml:space="preserve"> </w:t>
      </w:r>
      <w:r>
        <w:t xml:space="preserve">Facilitation of letters of credit, documentary collections, and cross-border payment processing, leveraging Miami's position as a primary gateway for Latin American and Caribbean trade within the United States.</w:t>
      </w:r>
    </w:p>
    <w:p>
      <w:pPr>
        <w:numPr>
          <w:ilvl w:val="0"/>
          <w:numId w:val="1001"/>
        </w:numPr>
        <w:pStyle w:val="Compact"/>
      </w:pPr>
      <w:r>
        <w:rPr>
          <w:bCs/>
          <w:b/>
        </w:rPr>
        <w:t xml:space="preserve">Wealth Management &amp; Private Banking:</w:t>
      </w:r>
      <w:r>
        <w:t xml:space="preserve"> </w:t>
      </w:r>
      <w:r>
        <w:t xml:space="preserve">Personalized portfolio management, estate planning coordination, and high-net-worth client servicing for individuals and families residing in or conducting business in United States Miami.</w:t>
      </w:r>
    </w:p>
    <w:p>
      <w:pPr>
        <w:numPr>
          <w:ilvl w:val="0"/>
          <w:numId w:val="1001"/>
        </w:numPr>
        <w:pStyle w:val="Compact"/>
      </w:pPr>
      <w:r>
        <w:rPr>
          <w:bCs/>
          <w:b/>
        </w:rPr>
        <w:t xml:space="preserve">Real Estate &amp; Construction Finance:</w:t>
      </w:r>
      <w:r>
        <w:t xml:space="preserve"> </w:t>
      </w:r>
      <w:r>
        <w:t xml:space="preserve">Structured financing solutions for commercial and residential real estate development projects throughout Miami-Dade, Broward, and Palm Beach counties.</w:t>
      </w:r>
    </w:p>
    <w:p>
      <w:pPr>
        <w:numPr>
          <w:ilvl w:val="0"/>
          <w:numId w:val="1001"/>
        </w:numPr>
        <w:pStyle w:val="Compact"/>
      </w:pPr>
      <w:r>
        <w:rPr>
          <w:bCs/>
          <w:b/>
        </w:rPr>
        <w:t xml:space="preserve">Regulatory Compliance &amp; Reporting:</w:t>
      </w:r>
      <w:r>
        <w:t xml:space="preserve"> </w:t>
      </w:r>
      <w:r>
        <w:t xml:space="preserve">Ongoing compliance monitoring, anti-money laundering (AML) program oversight, and regulatory filing support in accordance with United States federal and Florida state banking regulations.</w:t>
      </w:r>
    </w:p>
    <w:p>
      <w:pPr>
        <w:numPr>
          <w:ilvl w:val="0"/>
          <w:numId w:val="1001"/>
        </w:numPr>
        <w:pStyle w:val="Compact"/>
      </w:pPr>
      <w:r>
        <w:rPr>
          <w:bCs/>
          <w:b/>
        </w:rPr>
        <w:t xml:space="preserve">On-Site &amp; Remote Banking Operations:</w:t>
      </w:r>
      <w:r>
        <w:t xml:space="preserve"> </w:t>
      </w:r>
      <w:r>
        <w:t xml:space="preserve">Dedicated Banker presence at the client's Miami office or remote engagement via secure digital banking platforms, available Monday through Friday, 8:00 AM to 6:00 PM Eastern Time.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Senior Banker — Corporate Advisory (Full-Time Engagement)</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Trade Finance Coordination &amp; L/C Processing</w:t>
            </w:r>
          </w:p>
        </w:tc>
        <w:tc>
          <w:tcPr/>
          <w:p>
            <w:pPr>
              <w:pStyle w:val="Compact"/>
              <w:jc w:val="left"/>
            </w:pPr>
            <w:r>
              <w:t xml:space="preserve">Per Transaction (est. 24 txns)</w:t>
            </w:r>
          </w:p>
        </w:tc>
        <w:tc>
          <w:tcPr/>
          <w:p>
            <w:pPr>
              <w:pStyle w:val="Compact"/>
              <w:jc w:val="left"/>
            </w:pPr>
            <w:r>
              <w:t xml:space="preserve">$1,200 / transaction</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Wealth Management &amp; Portfolio Review Sessions</w:t>
            </w:r>
          </w:p>
        </w:tc>
        <w:tc>
          <w:tcPr/>
          <w:p>
            <w:pPr>
              <w:pStyle w:val="Compact"/>
              <w:jc w:val="left"/>
            </w:pPr>
            <w:r>
              <w:t xml:space="preserve">Quarterly (4 sessions)</w:t>
            </w:r>
          </w:p>
        </w:tc>
        <w:tc>
          <w:tcPr/>
          <w:p>
            <w:pPr>
              <w:pStyle w:val="Compact"/>
              <w:jc w:val="left"/>
            </w:pPr>
            <w:r>
              <w:t xml:space="preserve">$3,500 / session</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Real Estate Finance Structuring &amp; Due Diligence</w:t>
            </w:r>
          </w:p>
        </w:tc>
        <w:tc>
          <w:tcPr/>
          <w:p>
            <w:pPr>
              <w:pStyle w:val="Compact"/>
              <w:jc w:val="left"/>
            </w:pPr>
            <w:r>
              <w:t xml:space="preserve">Per Project (est. 3 projects)</w:t>
            </w:r>
          </w:p>
        </w:tc>
        <w:tc>
          <w:tcPr/>
          <w:p>
            <w:pPr>
              <w:pStyle w:val="Compact"/>
              <w:jc w:val="left"/>
            </w:pPr>
            <w:r>
              <w:t xml:space="preserve">$7,500 / project</w:t>
            </w:r>
          </w:p>
        </w:tc>
        <w:tc>
          <w:tcPr/>
          <w:p>
            <w:pPr>
              <w:pStyle w:val="Compact"/>
              <w:jc w:val="left"/>
            </w:pPr>
            <w:r>
              <w:t xml:space="preserve">$22,500.00</w:t>
            </w:r>
          </w:p>
        </w:tc>
      </w:tr>
      <w:tr>
        <w:tc>
          <w:tcPr/>
          <w:p>
            <w:pPr>
              <w:pStyle w:val="Compact"/>
              <w:jc w:val="left"/>
            </w:pPr>
            <w:r>
              <w:t xml:space="preserve">5</w:t>
            </w:r>
          </w:p>
        </w:tc>
        <w:tc>
          <w:tcPr/>
          <w:p>
            <w:pPr>
              <w:pStyle w:val="Compact"/>
              <w:jc w:val="left"/>
            </w:pPr>
            <w:r>
              <w:t xml:space="preserve">Regulatory Compliance &amp; AML Reporting</w:t>
            </w:r>
          </w:p>
        </w:tc>
        <w:tc>
          <w:tcPr/>
          <w:p>
            <w:pPr>
              <w:pStyle w:val="Compact"/>
              <w:jc w:val="left"/>
            </w:pPr>
            <w:r>
              <w:t xml:space="preserve">Monthly</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On-Site Banker Presence — Miami Office (Brickell District)</w:t>
            </w:r>
          </w:p>
        </w:tc>
        <w:tc>
          <w:tcPr/>
          <w:p>
            <w:pPr>
              <w:pStyle w:val="Compact"/>
              <w:jc w:val="left"/>
            </w:pPr>
            <w:r>
              <w:t xml:space="preserve">3 Days/Week, 12 Months</w:t>
            </w:r>
          </w:p>
        </w:tc>
        <w:tc>
          <w:tcPr/>
          <w:p>
            <w:pPr>
              <w:pStyle w:val="Compact"/>
              <w:jc w:val="left"/>
            </w:pPr>
            <w:r>
              <w:t xml:space="preserve">$450 / day</w:t>
            </w:r>
          </w:p>
        </w:tc>
        <w:tc>
          <w:tcPr/>
          <w:p>
            <w:pPr>
              <w:pStyle w:val="Compact"/>
              <w:jc w:val="left"/>
            </w:pPr>
            <w:r>
              <w:t xml:space="preserve">$68,400.00</w:t>
            </w:r>
          </w:p>
        </w:tc>
      </w:tr>
      <w:tr>
        <w:tc>
          <w:tcPr/>
          <w:p>
            <w:pPr>
              <w:pStyle w:val="Compact"/>
              <w:jc w:val="left"/>
            </w:pPr>
            <w:r>
              <w:t xml:space="preserve">7</w:t>
            </w:r>
          </w:p>
        </w:tc>
        <w:tc>
          <w:tcPr/>
          <w:p>
            <w:pPr>
              <w:pStyle w:val="Compact"/>
              <w:jc w:val="left"/>
            </w:pPr>
            <w:r>
              <w:t xml:space="preserve">Digital Banking Platform Setup &amp; Integration</w:t>
            </w:r>
          </w:p>
        </w:tc>
        <w:tc>
          <w:tcPr/>
          <w:p>
            <w:pPr>
              <w:pStyle w:val="Compact"/>
              <w:jc w:val="left"/>
            </w:pPr>
            <w:r>
              <w:t xml:space="preserve">One-Time</w:t>
            </w:r>
          </w:p>
        </w:tc>
        <w:tc>
          <w:tcPr/>
          <w:p>
            <w:pPr>
              <w:pStyle w:val="Compact"/>
              <w:jc w:val="left"/>
            </w:pPr>
            <w:r>
              <w:t xml:space="preserve">$12,000 / setup</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Emergency Banking Consultation &amp; Crisis Response</w:t>
            </w:r>
          </w:p>
        </w:tc>
        <w:tc>
          <w:tcPr/>
          <w:p>
            <w:pPr>
              <w:pStyle w:val="Compact"/>
              <w:jc w:val="left"/>
            </w:pPr>
            <w:r>
              <w:t xml:space="preserve">As Needed (est. 4 hrs)</w:t>
            </w:r>
          </w:p>
        </w:tc>
        <w:tc>
          <w:tcPr/>
          <w:p>
            <w:pPr>
              <w:pStyle w:val="Compact"/>
              <w:jc w:val="left"/>
            </w:pPr>
            <w:r>
              <w:t xml:space="preserve">$350 / hour</w:t>
            </w:r>
          </w:p>
        </w:tc>
        <w:tc>
          <w:tcPr/>
          <w:p>
            <w:pPr>
              <w:pStyle w:val="Compact"/>
              <w:jc w:val="left"/>
            </w:pPr>
            <w:r>
              <w:t xml:space="preserve">$1,400.00</w:t>
            </w:r>
          </w:p>
        </w:tc>
      </w:tr>
      <w:tr>
        <w:tc>
          <w:tcPr>
            <w:gridSpan w:val="4"/>
          </w:tcPr>
          <w:p>
            <w:pPr>
              <w:pStyle w:val="Compact"/>
              <w:jc w:val="right"/>
            </w:pPr>
            <w:r>
              <w:t xml:space="preserve">SUBTOTAL</w:t>
            </w:r>
          </w:p>
        </w:tc>
        <w:tc>
          <w:tcPr/>
          <w:p>
            <w:pPr>
              <w:pStyle w:val="Compact"/>
              <w:jc w:val="left"/>
            </w:pPr>
            <w:r>
              <w:t xml:space="preserve">$402,700.00</w:t>
            </w:r>
          </w:p>
        </w:tc>
      </w:tr>
      <w:tr>
        <w:tc>
          <w:tcPr>
            <w:gridSpan w:val="4"/>
          </w:tcPr>
          <w:p>
            <w:pPr>
              <w:pStyle w:val="Compact"/>
              <w:jc w:val="right"/>
            </w:pPr>
            <w:r>
              <w:t xml:space="preserve">Applicable Florida State Sales &amp; Service Tax (7.0%)</w:t>
            </w:r>
          </w:p>
        </w:tc>
        <w:tc>
          <w:tcPr/>
          <w:p>
            <w:pPr>
              <w:pStyle w:val="Compact"/>
              <w:jc w:val="left"/>
            </w:pPr>
            <w:r>
              <w:t xml:space="preserve">$28,189.00</w:t>
            </w:r>
          </w:p>
        </w:tc>
      </w:tr>
      <w:tr>
        <w:tc>
          <w:tcPr>
            <w:gridSpan w:val="4"/>
          </w:tcPr>
          <w:p>
            <w:pPr>
              <w:pStyle w:val="Compact"/>
              <w:jc w:val="right"/>
            </w:pPr>
            <w:r>
              <w:t xml:space="preserve">Miami-Dade County Surcharge (1.0%)</w:t>
            </w:r>
          </w:p>
        </w:tc>
        <w:tc>
          <w:tcPr/>
          <w:p>
            <w:pPr>
              <w:pStyle w:val="Compact"/>
              <w:jc w:val="left"/>
            </w:pPr>
            <w:r>
              <w:t xml:space="preserve">$4,027.00</w:t>
            </w:r>
          </w:p>
        </w:tc>
      </w:tr>
      <w:tr>
        <w:tc>
          <w:tcPr>
            <w:gridSpan w:val="4"/>
          </w:tcPr>
          <w:p>
            <w:pPr>
              <w:pStyle w:val="Compact"/>
              <w:jc w:val="right"/>
            </w:pPr>
            <w:r>
              <w:t xml:space="preserve">GRAND TOTAL (USD)</w:t>
            </w:r>
          </w:p>
        </w:tc>
        <w:tc>
          <w:tcPr/>
          <w:p>
            <w:pPr>
              <w:pStyle w:val="Compact"/>
              <w:jc w:val="left"/>
            </w:pPr>
            <w:r>
              <w:t xml:space="preserve">$434,916.00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rates for the</w:t>
      </w:r>
      <w:r>
        <w:t xml:space="preserve"> </w:t>
      </w:r>
      <w:r>
        <w:t xml:space="preserve">Banker</w:t>
      </w:r>
      <w:r>
        <w:t xml:space="preserve"> </w:t>
      </w:r>
      <w:r>
        <w:t xml:space="preserve">engagement in</w:t>
      </w:r>
      <w:r>
        <w:t xml:space="preserve"> </w:t>
      </w:r>
      <w:r>
        <w:t xml:space="preserve">United States Miami</w:t>
      </w:r>
      <w:r>
        <w:t xml:space="preserve"> </w:t>
      </w:r>
      <w:r>
        <w:t xml:space="preserve">are subject to revision based on prevailing market conditions and regulatory changes.</w:t>
      </w:r>
    </w:p>
    <w:p>
      <w:pPr>
        <w:numPr>
          <w:ilvl w:val="0"/>
          <w:numId w:val="1002"/>
        </w:numPr>
        <w:pStyle w:val="Compact"/>
      </w:pPr>
      <w:r>
        <w:t xml:space="preserve">Payment terms: 50% of the total estimated amount is due upon execution of the service agreement; the remaining 50% shall be invoiced monthly in arrears. All payments are to be made in United States Dollars (USD) via wire transfer to the designated account of Atlantic Meridian Financial Group, LLC, Miami, Florida.</w:t>
      </w:r>
    </w:p>
    <w:p>
      <w:pPr>
        <w:numPr>
          <w:ilvl w:val="0"/>
          <w:numId w:val="1002"/>
        </w:numPr>
        <w:pStyle w:val="Compact"/>
      </w:pPr>
      <w:r>
        <w:t xml:space="preserve">The</w:t>
      </w:r>
      <w:r>
        <w:t xml:space="preserve"> </w:t>
      </w:r>
      <w:r>
        <w:t xml:space="preserve">Banker</w:t>
      </w:r>
      <w:r>
        <w:t xml:space="preserve"> </w:t>
      </w:r>
      <w:r>
        <w:t xml:space="preserve">assigned to this engagement shall hold a valid Florida banking license and comply with all United States federal banking regulations, including but not limited to the Bank Secrecy Act, the Gramm-Leach-Bliley Act, and applicable SEC and FINRA guidelines.</w:t>
      </w:r>
    </w:p>
    <w:p>
      <w:pPr>
        <w:numPr>
          <w:ilvl w:val="0"/>
          <w:numId w:val="1002"/>
        </w:numPr>
        <w:pStyle w:val="Compact"/>
      </w:pPr>
      <w:r>
        <w:t xml:space="preserve">All services rendered under this</w:t>
      </w:r>
      <w:r>
        <w:t xml:space="preserve"> </w:t>
      </w:r>
      <w:r>
        <w:t xml:space="preserve">Quotation Estimate</w:t>
      </w:r>
      <w:r>
        <w:t xml:space="preserve"> </w:t>
      </w:r>
      <w:r>
        <w:t xml:space="preserve">shall be performed in strict accordance with the professional standards of the American Bankers Association and the Florida Banking Association.</w:t>
      </w:r>
    </w:p>
    <w:p>
      <w:pPr>
        <w:numPr>
          <w:ilvl w:val="0"/>
          <w:numId w:val="1002"/>
        </w:numPr>
        <w:pStyle w:val="Compact"/>
      </w:pPr>
      <w:r>
        <w:t xml:space="preserve">Any additional services beyond the scope defined herein, including but not limited to expedited processing, after-hours Banker availability, or engagement in jurisdictions outside of United States Miami, shall be subject to a supplementary Quotation Estimate issued separately.</w:t>
      </w:r>
    </w:p>
    <w:p>
      <w:pPr>
        <w:numPr>
          <w:ilvl w:val="0"/>
          <w:numId w:val="1002"/>
        </w:numPr>
        <w:pStyle w:val="Compact"/>
      </w:pPr>
      <w:r>
        <w:t xml:space="preserve">This Quotation Estimate does not constitute a final invoice. Final billing shall reflect actual services rendered and may vary by no more than ten percent (10%) from the estimated totals presented in this document.</w:t>
      </w:r>
    </w:p>
    <w:p>
      <w:pPr>
        <w:numPr>
          <w:ilvl w:val="0"/>
          <w:numId w:val="1002"/>
        </w:numPr>
        <w:pStyle w:val="Compact"/>
      </w:pPr>
      <w:r>
        <w:t xml:space="preserve">Confidentiality: All financial data, client information, and banking records exchanged during the course of this Banker engagement in United States Miami shall be treated as strictly confidential and protected under applicable United States federal and Florida state privacy laws.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estimated costs associated with the engagement of the</w:t>
      </w:r>
      <w:r>
        <w:t xml:space="preserve"> </w:t>
      </w:r>
      <w:r>
        <w:t xml:space="preserve">Banker</w:t>
      </w:r>
      <w:r>
        <w:t xml:space="preserve"> </w:t>
      </w:r>
      <w:r>
        <w:t xml:space="preserve">professional services as described herein for delivery in</w:t>
      </w:r>
      <w:r>
        <w:t xml:space="preserve"> </w:t>
      </w:r>
      <w:r>
        <w:t xml:space="preserve">United States Miami</w:t>
      </w:r>
      <w:r>
        <w:t xml:space="preserve">. This signature authorizes Atlantic Meridian Financial Group, LLC to proceed with the onboarding and deployment of the designated Banker within five (5) business days of acceptance.</w:t>
      </w:r>
    </w:p>
    <w:p>
      <w:pPr>
        <w:pStyle w:val="BodyText"/>
      </w:pPr>
      <w:r>
        <w:rPr>
          <w:bCs/>
          <w:b/>
        </w:rPr>
        <w:t xml:space="preserve">For Atlantic Meridian Financial Group, LLC</w:t>
      </w:r>
    </w:p>
    <w:p>
      <w:pPr>
        <w:pStyle w:val="BodyText"/>
      </w:pPr>
      <w:r>
        <w:t xml:space="preserve">Authorized Representative — Miami, United States</w:t>
      </w:r>
    </w:p>
    <w:p>
      <w:pPr>
        <w:pStyle w:val="BodyText"/>
      </w:pPr>
      <w:r>
        <w:t xml:space="preserve">Signature &amp; Date</w:t>
      </w:r>
    </w:p>
    <w:p>
      <w:pPr>
        <w:pStyle w:val="BodyText"/>
      </w:pPr>
      <w:r>
        <w:rPr>
          <w:bCs/>
          <w:b/>
        </w:rPr>
        <w:t xml:space="preserve">For the Client</w:t>
      </w:r>
    </w:p>
    <w:p>
      <w:pPr>
        <w:pStyle w:val="BodyText"/>
      </w:pPr>
      <w:r>
        <w:t xml:space="preserve">Authorized Signatory</w:t>
      </w:r>
    </w:p>
    <w:p>
      <w:pPr>
        <w:pStyle w:val="BodyText"/>
      </w:pPr>
      <w:r>
        <w:t xml:space="preserve">Signature &amp; Date</w:t>
      </w:r>
    </w:p>
    <w:p>
      <w:pPr>
        <w:pStyle w:val="BodyText"/>
      </w:pPr>
      <w:r>
        <w:rPr>
          <w:bCs/>
          <w:b/>
        </w:rPr>
        <w:t xml:space="preserve">Important Notice:</w:t>
      </w:r>
      <w:r>
        <w:t xml:space="preserve"> </w:t>
      </w:r>
      <w:r>
        <w:t xml:space="preserve">This Quotation Estimate document is prepared exclusively for the named client and is non-transferable. All banking and financial advisory services referenced herein are subject to the regulatory oversight of the Federal Reserve System, the Office of the Comptroller of the Currency (OCC), and the Florida Office of Financial Regulation. Atlantic Meridian Financial Group, LLC is a registered financial services entity operating in Miami, Florida, United States. This Quotation Estimate does not guarantee specific financial returns or investment outcomes. The Banker services described are advisory in nature and do not constitute a guarantee of banking approval, loan disbursement, or trade finance execution. For questions regarding this Quotation Estimate, please contact our Miami office at (305) 555-0142 or via email at quotations@atlanticmeridianmiami.com.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United States Miami</dc:title>
  <dc:creator/>
  <dc:language>en</dc:language>
  <cp:keywords/>
  <dcterms:created xsi:type="dcterms:W3CDTF">2026-10-10T08:48:43Z</dcterms:created>
  <dcterms:modified xsi:type="dcterms:W3CDTF">2026-10-10T08:48:43Z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