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Banking &amp; Financial Advisory Services</w:t>
      </w:r>
    </w:p>
    <w:p>
      <w:pPr>
        <w:pStyle w:val="BodyText"/>
      </w:pPr>
      <w:r>
        <w:t xml:space="preserve">United States New York City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QEST-2025-NYC-04782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 (Banker)</w:t>
            </w:r>
          </w:p>
        </w:tc>
        <w:tc>
          <w:tcPr/>
          <w:p>
            <w:pPr>
              <w:pStyle w:val="Compact"/>
              <w:jc w:val="left"/>
            </w:pPr>
            <w:r>
              <w:t xml:space="preserve">Mr. Jonathan R. Whitfield, CFA, CFP — Senior Banker, Meridian Capital Advisory Group</w:t>
            </w:r>
          </w:p>
        </w:tc>
      </w:tr>
      <w:tr>
        <w:tc>
          <w:tcPr/>
          <w:p>
            <w:pPr>
              <w:pStyle w:val="Compact"/>
              <w:jc w:val="left"/>
            </w:pPr>
            <w:r>
              <w:t xml:space="preserve">Banker Address</w:t>
            </w:r>
          </w:p>
        </w:tc>
        <w:tc>
          <w:tcPr/>
          <w:p>
            <w:pPr>
              <w:pStyle w:val="Compact"/>
              <w:jc w:val="left"/>
            </w:pPr>
            <w:r>
              <w:t xml:space="preserve">200 Park Avenue, Suite 4200, New York, NY 10166, United States New York City</w:t>
            </w:r>
          </w:p>
        </w:tc>
      </w:tr>
      <w:tr>
        <w:tc>
          <w:tcPr/>
          <w:p>
            <w:pPr>
              <w:pStyle w:val="Compact"/>
              <w:jc w:val="left"/>
            </w:pPr>
            <w:r>
              <w:t xml:space="preserve">Client Name</w:t>
            </w:r>
          </w:p>
        </w:tc>
        <w:tc>
          <w:tcPr/>
          <w:p>
            <w:pPr>
              <w:pStyle w:val="Compact"/>
              <w:jc w:val="left"/>
            </w:pPr>
            <w:r>
              <w:t xml:space="preserve">Harold &amp; Patricia Ellison (Joint Account Holders)</w:t>
            </w:r>
          </w:p>
        </w:tc>
      </w:tr>
      <w:tr>
        <w:tc>
          <w:tcPr/>
          <w:p>
            <w:pPr>
              <w:pStyle w:val="Compact"/>
              <w:jc w:val="left"/>
            </w:pPr>
            <w:r>
              <w:t xml:space="preserve">Client Address</w:t>
            </w:r>
          </w:p>
        </w:tc>
        <w:tc>
          <w:tcPr/>
          <w:p>
            <w:pPr>
              <w:pStyle w:val="Compact"/>
              <w:jc w:val="left"/>
            </w:pPr>
            <w:r>
              <w:t xml:space="preserve">148 West 87th Street, New York, NY 10024, United States New York City</w:t>
            </w:r>
          </w:p>
        </w:tc>
      </w:tr>
      <w:tr>
        <w:tc>
          <w:tcPr/>
          <w:p>
            <w:pPr>
              <w:pStyle w:val="Compact"/>
              <w:jc w:val="left"/>
            </w:pPr>
            <w:r>
              <w:t xml:space="preserve">Engagement Scope</w:t>
            </w:r>
          </w:p>
        </w:tc>
        <w:tc>
          <w:tcPr/>
          <w:p>
            <w:pPr>
              <w:pStyle w:val="Compact"/>
              <w:jc w:val="left"/>
            </w:pPr>
            <w:r>
              <w:t xml:space="preserve">Comprehensive Banking, Wealth Management, and Financial Planning Services</w:t>
            </w:r>
          </w:p>
        </w:tc>
      </w:tr>
    </w:tbl>
    <w:bookmarkStart w:id="21" w:name="executive-summary"/>
    <w:p>
      <w:pPr>
        <w:pStyle w:val="Heading2"/>
      </w:pPr>
      <w:r>
        <w:t xml:space="preserve">1. Executive Summary</w:t>
      </w:r>
    </w:p>
    <w:p>
      <w:pPr>
        <w:pStyle w:val="FirstParagraph"/>
      </w:pPr>
      <w:r>
        <w:t xml:space="preserve">This Quotation Estimate is formally issued by Mr. Jonathan R. Whitfield, a licensed and regulated Banker operating within the jurisdiction of United States New York City, to the above-named client. The purpose of this document is to provide a detailed, itemized cost projection for the full spectrum of banking and financial advisory services to be rendered over a twelve-month engagement period. All fees, charges, and projected costs outlined in this Quotation Estimate are subject to the terms and conditions specified herein and are governed by the financial regulations of the State of New York and applicable federal banking statutes of the United States.</w:t>
      </w:r>
    </w:p>
    <w:bookmarkEnd w:id="21"/>
    <w:bookmarkStart w:id="22" w:name="scope-of-services-provided-by-the-banker"/>
    <w:p>
      <w:pPr>
        <w:pStyle w:val="Heading2"/>
      </w:pPr>
      <w:r>
        <w:t xml:space="preserve">2. Scope of Services Provided by the Banker</w:t>
      </w:r>
    </w:p>
    <w:p>
      <w:pPr>
        <w:pStyle w:val="FirstParagraph"/>
      </w:pPr>
      <w:r>
        <w:t xml:space="preserve">The undersigned Banker shall deliver the following professional services to the client throughout the engagement term. Each service line item below constitutes a component of this Quotation Estimate and is subject to the rates specified: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Estimated Cost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Primary Banking Relationship Management &amp; Account Oversight</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Includes checking, savings, and money market account management</w:t>
            </w:r>
          </w:p>
        </w:tc>
      </w:tr>
      <w:tr>
        <w:tc>
          <w:tcPr/>
          <w:p>
            <w:pPr>
              <w:pStyle w:val="Compact"/>
              <w:jc w:val="left"/>
            </w:pPr>
            <w:r>
              <w:t xml:space="preserve">2</w:t>
            </w:r>
          </w:p>
        </w:tc>
        <w:tc>
          <w:tcPr/>
          <w:p>
            <w:pPr>
              <w:pStyle w:val="Compact"/>
              <w:jc w:val="left"/>
            </w:pPr>
            <w:r>
              <w:t xml:space="preserve">Wealth Management &amp; Portfolio Advisory (Banker-led)</w:t>
            </w:r>
          </w:p>
        </w:tc>
        <w:tc>
          <w:tcPr/>
          <w:p>
            <w:pPr>
              <w:pStyle w:val="Compact"/>
              <w:jc w:val="left"/>
            </w:pPr>
            <w:r>
              <w:t xml:space="preserve">Quarterly</w:t>
            </w:r>
          </w:p>
        </w:tc>
        <w:tc>
          <w:tcPr/>
          <w:p>
            <w:pPr>
              <w:pStyle w:val="Compact"/>
              <w:jc w:val="left"/>
            </w:pPr>
            <w:r>
              <w:t xml:space="preserve">$4,500.00</w:t>
            </w:r>
          </w:p>
        </w:tc>
        <w:tc>
          <w:tcPr/>
          <w:p>
            <w:pPr>
              <w:pStyle w:val="Compact"/>
              <w:jc w:val="left"/>
            </w:pPr>
            <w:r>
              <w:t xml:space="preserve">Asset allocation, equity/fixed-income strategy, rebalancing</w:t>
            </w:r>
          </w:p>
        </w:tc>
      </w:tr>
      <w:tr>
        <w:tc>
          <w:tcPr/>
          <w:p>
            <w:pPr>
              <w:pStyle w:val="Compact"/>
              <w:jc w:val="left"/>
            </w:pPr>
            <w:r>
              <w:t xml:space="preserve">3</w:t>
            </w:r>
          </w:p>
        </w:tc>
        <w:tc>
          <w:tcPr/>
          <w:p>
            <w:pPr>
              <w:pStyle w:val="Compact"/>
              <w:jc w:val="left"/>
            </w:pPr>
            <w:r>
              <w:t xml:space="preserve">Tax-Optimized Financial Planning (NYC &amp; Federal)</w:t>
            </w:r>
          </w:p>
        </w:tc>
        <w:tc>
          <w:tcPr/>
          <w:p>
            <w:pPr>
              <w:pStyle w:val="Compact"/>
              <w:jc w:val="left"/>
            </w:pPr>
            <w:r>
              <w:t xml:space="preserve">Bi-Annually</w:t>
            </w:r>
          </w:p>
        </w:tc>
        <w:tc>
          <w:tcPr/>
          <w:p>
            <w:pPr>
              <w:pStyle w:val="Compact"/>
              <w:jc w:val="left"/>
            </w:pPr>
            <w:r>
              <w:t xml:space="preserve">$3,800.00</w:t>
            </w:r>
          </w:p>
        </w:tc>
        <w:tc>
          <w:tcPr/>
          <w:p>
            <w:pPr>
              <w:pStyle w:val="Compact"/>
              <w:jc w:val="left"/>
            </w:pPr>
            <w:r>
              <w:t xml:space="preserve">Compliance with IRS and New York State tax codes</w:t>
            </w:r>
          </w:p>
        </w:tc>
      </w:tr>
      <w:tr>
        <w:tc>
          <w:tcPr/>
          <w:p>
            <w:pPr>
              <w:pStyle w:val="Compact"/>
              <w:jc w:val="left"/>
            </w:pPr>
            <w:r>
              <w:t xml:space="preserve">4</w:t>
            </w:r>
          </w:p>
        </w:tc>
        <w:tc>
          <w:tcPr/>
          <w:p>
            <w:pPr>
              <w:pStyle w:val="Compact"/>
              <w:jc w:val="left"/>
            </w:pPr>
            <w:r>
              <w:t xml:space="preserve">Real Estate &amp; Property Financing Advisory</w:t>
            </w:r>
          </w:p>
        </w:tc>
        <w:tc>
          <w:tcPr/>
          <w:p>
            <w:pPr>
              <w:pStyle w:val="Compact"/>
              <w:jc w:val="left"/>
            </w:pPr>
            <w:r>
              <w:t xml:space="preserve">As Needed (est. 2x/yr)</w:t>
            </w:r>
          </w:p>
        </w:tc>
        <w:tc>
          <w:tcPr/>
          <w:p>
            <w:pPr>
              <w:pStyle w:val="Compact"/>
              <w:jc w:val="left"/>
            </w:pPr>
            <w:r>
              <w:t xml:space="preserve">$2,500.00</w:t>
            </w:r>
          </w:p>
        </w:tc>
        <w:tc>
          <w:tcPr/>
          <w:p>
            <w:pPr>
              <w:pStyle w:val="Compact"/>
              <w:jc w:val="left"/>
            </w:pPr>
            <w:r>
              <w:t xml:space="preserve">Mortgage structuring, HELOC, commercial property loans in NYC</w:t>
            </w:r>
          </w:p>
        </w:tc>
      </w:tr>
      <w:tr>
        <w:tc>
          <w:tcPr/>
          <w:p>
            <w:pPr>
              <w:pStyle w:val="Compact"/>
              <w:jc w:val="left"/>
            </w:pPr>
            <w:r>
              <w:t xml:space="preserve">5</w:t>
            </w:r>
          </w:p>
        </w:tc>
        <w:tc>
          <w:tcPr/>
          <w:p>
            <w:pPr>
              <w:pStyle w:val="Compact"/>
              <w:jc w:val="left"/>
            </w:pPr>
            <w:r>
              <w:t xml:space="preserve">Estate &amp; Succession Planning Coordination</w:t>
            </w:r>
          </w:p>
        </w:tc>
        <w:tc>
          <w:tcPr/>
          <w:p>
            <w:pPr>
              <w:pStyle w:val="Compact"/>
              <w:jc w:val="left"/>
            </w:pPr>
            <w:r>
              <w:t xml:space="preserve">Annually</w:t>
            </w:r>
          </w:p>
        </w:tc>
        <w:tc>
          <w:tcPr/>
          <w:p>
            <w:pPr>
              <w:pStyle w:val="Compact"/>
              <w:jc w:val="left"/>
            </w:pPr>
            <w:r>
              <w:t xml:space="preserve">$3,200.00</w:t>
            </w:r>
          </w:p>
        </w:tc>
        <w:tc>
          <w:tcPr/>
          <w:p>
            <w:pPr>
              <w:pStyle w:val="Compact"/>
              <w:jc w:val="left"/>
            </w:pPr>
            <w:r>
              <w:t xml:space="preserve">Trust structuring, beneficiary designations, will coordination</w:t>
            </w:r>
          </w:p>
        </w:tc>
      </w:tr>
      <w:tr>
        <w:tc>
          <w:tcPr/>
          <w:p>
            <w:pPr>
              <w:pStyle w:val="Compact"/>
              <w:jc w:val="left"/>
            </w:pPr>
            <w:r>
              <w:t xml:space="preserve">6</w:t>
            </w:r>
          </w:p>
        </w:tc>
        <w:tc>
          <w:tcPr/>
          <w:p>
            <w:pPr>
              <w:pStyle w:val="Compact"/>
              <w:jc w:val="left"/>
            </w:pPr>
            <w:r>
              <w:t xml:space="preserve">Retirement Income &amp; Social Security Optimization</w:t>
            </w:r>
          </w:p>
        </w:tc>
        <w:tc>
          <w:tcPr/>
          <w:p>
            <w:pPr>
              <w:pStyle w:val="Compact"/>
              <w:jc w:val="left"/>
            </w:pPr>
            <w:r>
              <w:t xml:space="preserve">Annually</w:t>
            </w:r>
          </w:p>
        </w:tc>
        <w:tc>
          <w:tcPr/>
          <w:p>
            <w:pPr>
              <w:pStyle w:val="Compact"/>
              <w:jc w:val="left"/>
            </w:pPr>
            <w:r>
              <w:t xml:space="preserve">$2,000.00</w:t>
            </w:r>
          </w:p>
        </w:tc>
        <w:tc>
          <w:tcPr/>
          <w:p>
            <w:pPr>
              <w:pStyle w:val="Compact"/>
              <w:jc w:val="left"/>
            </w:pPr>
            <w:r>
              <w:t xml:space="preserve">401(k)/IRA rollover strategy, RMD planning</w:t>
            </w:r>
          </w:p>
        </w:tc>
      </w:tr>
      <w:tr>
        <w:tc>
          <w:tcPr/>
          <w:p>
            <w:pPr>
              <w:pStyle w:val="Compact"/>
              <w:jc w:val="left"/>
            </w:pPr>
            <w:r>
              <w:t xml:space="preserve">7</w:t>
            </w:r>
          </w:p>
        </w:tc>
        <w:tc>
          <w:tcPr/>
          <w:p>
            <w:pPr>
              <w:pStyle w:val="Compact"/>
              <w:jc w:val="left"/>
            </w:pPr>
            <w:r>
              <w:t xml:space="preserve">Insurance Needs Analysis &amp; Policy Review</w:t>
            </w:r>
          </w:p>
        </w:tc>
        <w:tc>
          <w:tcPr/>
          <w:p>
            <w:pPr>
              <w:pStyle w:val="Compact"/>
              <w:jc w:val="left"/>
            </w:pPr>
            <w:r>
              <w:t xml:space="preserve">Annually</w:t>
            </w:r>
          </w:p>
        </w:tc>
        <w:tc>
          <w:tcPr/>
          <w:p>
            <w:pPr>
              <w:pStyle w:val="Compact"/>
              <w:jc w:val="left"/>
            </w:pPr>
            <w:r>
              <w:t xml:space="preserve">$1,500.00</w:t>
            </w:r>
          </w:p>
        </w:tc>
        <w:tc>
          <w:tcPr/>
          <w:p>
            <w:pPr>
              <w:pStyle w:val="Compact"/>
              <w:jc w:val="left"/>
            </w:pPr>
            <w:r>
              <w:t xml:space="preserve">Life, disability, long-term care, umbrella liability</w:t>
            </w:r>
          </w:p>
        </w:tc>
      </w:tr>
      <w:tr>
        <w:tc>
          <w:tcPr/>
          <w:p>
            <w:pPr>
              <w:pStyle w:val="Compact"/>
              <w:jc w:val="left"/>
            </w:pPr>
            <w:r>
              <w:t xml:space="preserve">8</w:t>
            </w:r>
          </w:p>
        </w:tc>
        <w:tc>
          <w:tcPr/>
          <w:p>
            <w:pPr>
              <w:pStyle w:val="Compact"/>
              <w:jc w:val="left"/>
            </w:pPr>
            <w:r>
              <w:t xml:space="preserve">Emergency &amp; Priority Banking Support (24/7)</w:t>
            </w:r>
          </w:p>
        </w:tc>
        <w:tc>
          <w:tcPr/>
          <w:p>
            <w:pPr>
              <w:pStyle w:val="Compact"/>
              <w:jc w:val="left"/>
            </w:pPr>
            <w:r>
              <w:t xml:space="preserve">Continuous</w:t>
            </w:r>
          </w:p>
        </w:tc>
        <w:tc>
          <w:tcPr/>
          <w:p>
            <w:pPr>
              <w:pStyle w:val="Compact"/>
              <w:jc w:val="left"/>
            </w:pPr>
            <w:r>
              <w:t xml:space="preserve">$600.00</w:t>
            </w:r>
          </w:p>
        </w:tc>
        <w:tc>
          <w:tcPr/>
          <w:p>
            <w:pPr>
              <w:pStyle w:val="Compact"/>
              <w:jc w:val="left"/>
            </w:pPr>
            <w:r>
              <w:t xml:space="preserve">Dedicated Banker hotline, wire transfer authorization, fraud response</w:t>
            </w:r>
          </w:p>
        </w:tc>
      </w:tr>
      <w:tr>
        <w:tc>
          <w:tcPr/>
          <w:p>
            <w:pPr>
              <w:pStyle w:val="Compact"/>
              <w:jc w:val="left"/>
            </w:pPr>
            <w:r>
              <w:t xml:space="preserve">9</w:t>
            </w:r>
          </w:p>
        </w:tc>
        <w:tc>
          <w:tcPr/>
          <w:p>
            <w:pPr>
              <w:pStyle w:val="Compact"/>
              <w:jc w:val="left"/>
            </w:pPr>
            <w:r>
              <w:t xml:space="preserve">Quarterly Performance Reporting &amp; Client Review Meetings</w:t>
            </w:r>
          </w:p>
        </w:tc>
        <w:tc>
          <w:tcPr/>
          <w:p>
            <w:pPr>
              <w:pStyle w:val="Compact"/>
              <w:jc w:val="left"/>
            </w:pPr>
            <w:r>
              <w:t xml:space="preserve">Quarterly</w:t>
            </w:r>
          </w:p>
        </w:tc>
        <w:tc>
          <w:tcPr/>
          <w:p>
            <w:pPr>
              <w:pStyle w:val="Compact"/>
              <w:jc w:val="left"/>
            </w:pPr>
            <w:r>
              <w:t xml:space="preserve">$800.00</w:t>
            </w:r>
          </w:p>
        </w:tc>
        <w:tc>
          <w:tcPr/>
          <w:p>
            <w:pPr>
              <w:pStyle w:val="Compact"/>
              <w:jc w:val="left"/>
            </w:pPr>
            <w:r>
              <w:t xml:space="preserve">In-person meetings at Banker's office, Manhattan, United States New York City</w:t>
            </w:r>
          </w:p>
        </w:tc>
      </w:tr>
      <w:tr>
        <w:tc>
          <w:tcPr/>
          <w:p>
            <w:pPr>
              <w:pStyle w:val="Compact"/>
              <w:jc w:val="left"/>
            </w:pPr>
            <w:r>
              <w:t xml:space="preserve">10</w:t>
            </w:r>
          </w:p>
        </w:tc>
        <w:tc>
          <w:tcPr/>
          <w:p>
            <w:pPr>
              <w:pStyle w:val="Compact"/>
              <w:jc w:val="left"/>
            </w:pPr>
            <w:r>
              <w:t xml:space="preserve">Regulatory Compliance &amp; AML Documentation (Banker obligation)</w:t>
            </w:r>
          </w:p>
        </w:tc>
        <w:tc>
          <w:tcPr/>
          <w:p>
            <w:pPr>
              <w:pStyle w:val="Compact"/>
              <w:jc w:val="left"/>
            </w:pPr>
            <w:r>
              <w:t xml:space="preserve">Continuous</w:t>
            </w:r>
          </w:p>
        </w:tc>
        <w:tc>
          <w:tcPr/>
          <w:p>
            <w:pPr>
              <w:pStyle w:val="Compact"/>
              <w:jc w:val="left"/>
            </w:pPr>
            <w:r>
              <w:t xml:space="preserve">$400.00</w:t>
            </w:r>
          </w:p>
        </w:tc>
        <w:tc>
          <w:tcPr/>
          <w:p>
            <w:pPr>
              <w:pStyle w:val="Compact"/>
              <w:jc w:val="left"/>
            </w:pPr>
            <w:r>
              <w:t xml:space="preserve">NYDFS, FinCEN, and OCC reporting as required</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(USD)</w:t>
            </w:r>
          </w:p>
        </w:tc>
      </w:tr>
      <w:tr>
        <w:tc>
          <w:tcPr/>
          <w:p>
            <w:pPr>
              <w:pStyle w:val="Compact"/>
              <w:jc w:val="left"/>
            </w:pPr>
            <w:r>
              <w:t xml:space="preserve">Monthly Banking &amp; Account Management (12 months)</w:t>
            </w:r>
          </w:p>
        </w:tc>
        <w:tc>
          <w:tcPr/>
          <w:p>
            <w:pPr>
              <w:pStyle w:val="Compact"/>
              <w:jc w:val="left"/>
            </w:pPr>
            <w:r>
              <w:t xml:space="preserve">$14,400.00</w:t>
            </w:r>
          </w:p>
        </w:tc>
      </w:tr>
      <w:tr>
        <w:tc>
          <w:tcPr/>
          <w:p>
            <w:pPr>
              <w:pStyle w:val="Compact"/>
              <w:jc w:val="left"/>
            </w:pPr>
            <w:r>
              <w:t xml:space="preserve">Quarterly Wealth Management (4 sessions)</w:t>
            </w:r>
          </w:p>
        </w:tc>
        <w:tc>
          <w:tcPr/>
          <w:p>
            <w:pPr>
              <w:pStyle w:val="Compact"/>
              <w:jc w:val="left"/>
            </w:pPr>
            <w:r>
              <w:t xml:space="preserve">$18,000.00</w:t>
            </w:r>
          </w:p>
        </w:tc>
      </w:tr>
      <w:tr>
        <w:tc>
          <w:tcPr/>
          <w:p>
            <w:pPr>
              <w:pStyle w:val="Compact"/>
              <w:jc w:val="left"/>
            </w:pPr>
            <w:r>
              <w:t xml:space="preserve">Bi-Annual Tax Planning (2 sessions)</w:t>
            </w:r>
          </w:p>
        </w:tc>
        <w:tc>
          <w:tcPr/>
          <w:p>
            <w:pPr>
              <w:pStyle w:val="Compact"/>
              <w:jc w:val="left"/>
            </w:pPr>
            <w:r>
              <w:t xml:space="preserve">$7,600.00</w:t>
            </w:r>
          </w:p>
        </w:tc>
      </w:tr>
      <w:tr>
        <w:tc>
          <w:tcPr/>
          <w:p>
            <w:pPr>
              <w:pStyle w:val="Compact"/>
              <w:jc w:val="left"/>
            </w:pPr>
            <w:r>
              <w:t xml:space="preserve">Real Estate Financing Advisory (2 sessions)</w:t>
            </w:r>
          </w:p>
        </w:tc>
        <w:tc>
          <w:tcPr/>
          <w:p>
            <w:pPr>
              <w:pStyle w:val="Compact"/>
              <w:jc w:val="left"/>
            </w:pPr>
            <w:r>
              <w:t xml:space="preserve">$5,000.00</w:t>
            </w:r>
          </w:p>
        </w:tc>
      </w:tr>
      <w:tr>
        <w:tc>
          <w:tcPr/>
          <w:p>
            <w:pPr>
              <w:pStyle w:val="Compact"/>
              <w:jc w:val="left"/>
            </w:pPr>
            <w:r>
              <w:t xml:space="preserve">Estate &amp; Succession Planning</w:t>
            </w:r>
          </w:p>
        </w:tc>
        <w:tc>
          <w:tcPr/>
          <w:p>
            <w:pPr>
              <w:pStyle w:val="Compact"/>
              <w:jc w:val="left"/>
            </w:pPr>
            <w:r>
              <w:t xml:space="preserve">$3,200.00</w:t>
            </w:r>
          </w:p>
        </w:tc>
      </w:tr>
      <w:tr>
        <w:tc>
          <w:tcPr/>
          <w:p>
            <w:pPr>
              <w:pStyle w:val="Compact"/>
              <w:jc w:val="left"/>
            </w:pPr>
            <w:r>
              <w:t xml:space="preserve">Retirement &amp; Social Security Optimization</w:t>
            </w:r>
          </w:p>
        </w:tc>
        <w:tc>
          <w:tcPr/>
          <w:p>
            <w:pPr>
              <w:pStyle w:val="Compact"/>
              <w:jc w:val="left"/>
            </w:pPr>
            <w:r>
              <w:t xml:space="preserve">$2,000.00</w:t>
            </w:r>
          </w:p>
        </w:tc>
      </w:tr>
      <w:tr>
        <w:tc>
          <w:tcPr/>
          <w:p>
            <w:pPr>
              <w:pStyle w:val="Compact"/>
              <w:jc w:val="left"/>
            </w:pPr>
            <w:r>
              <w:t xml:space="preserve">Insurance Analysis &amp; Review</w:t>
            </w:r>
          </w:p>
        </w:tc>
        <w:tc>
          <w:tcPr/>
          <w:p>
            <w:pPr>
              <w:pStyle w:val="Compact"/>
              <w:jc w:val="left"/>
            </w:pPr>
            <w:r>
              <w:t xml:space="preserve">$1,500.00</w:t>
            </w:r>
          </w:p>
        </w:tc>
      </w:tr>
      <w:tr>
        <w:tc>
          <w:tcPr/>
          <w:p>
            <w:pPr>
              <w:pStyle w:val="Compact"/>
              <w:jc w:val="left"/>
            </w:pPr>
            <w:r>
              <w:t xml:space="preserve">Emergency Banking Support (12 months)</w:t>
            </w:r>
          </w:p>
        </w:tc>
        <w:tc>
          <w:tcPr/>
          <w:p>
            <w:pPr>
              <w:pStyle w:val="Compact"/>
              <w:jc w:val="left"/>
            </w:pPr>
            <w:r>
              <w:t xml:space="preserve">$7,200.00</w:t>
            </w:r>
          </w:p>
        </w:tc>
      </w:tr>
      <w:tr>
        <w:tc>
          <w:tcPr/>
          <w:p>
            <w:pPr>
              <w:pStyle w:val="Compact"/>
              <w:jc w:val="left"/>
            </w:pPr>
            <w:r>
              <w:t xml:space="preserve">Quarterly Reporting &amp; Meetings (4 sessions)</w:t>
            </w:r>
          </w:p>
        </w:tc>
        <w:tc>
          <w:tcPr/>
          <w:p>
            <w:pPr>
              <w:pStyle w:val="Compact"/>
              <w:jc w:val="left"/>
            </w:pPr>
            <w:r>
              <w:t xml:space="preserve">$3,200.00</w:t>
            </w:r>
          </w:p>
        </w:tc>
      </w:tr>
      <w:tr>
        <w:tc>
          <w:tcPr/>
          <w:p>
            <w:pPr>
              <w:pStyle w:val="Compact"/>
              <w:jc w:val="left"/>
            </w:pPr>
            <w:r>
              <w:t xml:space="preserve">Regulatory Compliance &amp; AML (12 months)</w:t>
            </w:r>
          </w:p>
        </w:tc>
        <w:tc>
          <w:tcPr/>
          <w:p>
            <w:pPr>
              <w:pStyle w:val="Compact"/>
              <w:jc w:val="left"/>
            </w:pPr>
            <w:r>
              <w:t xml:space="preserve">$4,800.00</w:t>
            </w:r>
          </w:p>
        </w:tc>
      </w:tr>
      <w:tr>
        <w:tc>
          <w:tcPr/>
          <w:p>
            <w:pPr>
              <w:pStyle w:val="Compact"/>
              <w:jc w:val="left"/>
            </w:pPr>
            <w:r>
              <w:t xml:space="preserve">Subtotal (Annual)</w:t>
            </w:r>
          </w:p>
        </w:tc>
        <w:tc>
          <w:tcPr/>
          <w:p>
            <w:pPr>
              <w:pStyle w:val="Compact"/>
              <w:jc w:val="left"/>
            </w:pPr>
            <w:r>
              <w:t xml:space="preserve">$66,900.00</w:t>
            </w:r>
          </w:p>
        </w:tc>
      </w:tr>
      <w:tr>
        <w:tc>
          <w:tcPr/>
          <w:p>
            <w:pPr>
              <w:pStyle w:val="Compact"/>
              <w:jc w:val="left"/>
            </w:pPr>
            <w:r>
              <w:t xml:space="preserve">Applicable New York City Sales &amp; Service Tax (8.875%)</w:t>
            </w:r>
          </w:p>
        </w:tc>
        <w:tc>
          <w:tcPr/>
          <w:p>
            <w:pPr>
              <w:pStyle w:val="Compact"/>
              <w:jc w:val="left"/>
            </w:pPr>
            <w:r>
              <w:t xml:space="preserve">$5,937.41</w:t>
            </w:r>
          </w:p>
        </w:tc>
      </w:tr>
      <w:tr>
        <w:tc>
          <w:tcPr/>
          <w:p>
            <w:pPr>
              <w:pStyle w:val="Compact"/>
              <w:jc w:val="left"/>
            </w:pPr>
            <w:r>
              <w:t xml:space="preserve">Grand Total (Annual Quotation Estimate)</w:t>
            </w:r>
          </w:p>
        </w:tc>
        <w:tc>
          <w:tcPr/>
          <w:p>
            <w:pPr>
              <w:pStyle w:val="Compact"/>
              <w:jc w:val="left"/>
            </w:pPr>
            <w:r>
              <w:t xml:space="preserve">$72,837.41</w:t>
            </w:r>
          </w:p>
        </w:tc>
      </w:tr>
    </w:tbl>
    <w:bookmarkEnd w:id="23"/>
    <w:bookmarkStart w:id="24" w:name="payment-terms-conditions"/>
    <w:p>
      <w:pPr>
        <w:pStyle w:val="Heading2"/>
      </w:pPr>
      <w:r>
        <w:t xml:space="preserve">4. Payment Terms &amp; Conditions</w:t>
      </w:r>
    </w:p>
    <w:p>
      <w:pPr>
        <w:pStyle w:val="FirstParagraph"/>
      </w:pPr>
      <w:r>
        <w:rPr>
          <w:bCs/>
          <w:b/>
        </w:rPr>
        <w:t xml:space="preserve">4.1</w:t>
      </w:r>
      <w:r>
        <w:t xml:space="preserve"> </w:t>
      </w:r>
      <w:r>
        <w:t xml:space="preserve">Payment Schedule: The total annual amount of this Quotation Estimate shall be invoiced in four equal quarterly installments of $18,209.35, due on the first business day of January, April, July, and October of the engagement year.</w:t>
      </w:r>
    </w:p>
    <w:p>
      <w:pPr>
        <w:pStyle w:val="BodyText"/>
      </w:pPr>
      <w:r>
        <w:rPr>
          <w:bCs/>
          <w:b/>
        </w:rPr>
        <w:t xml:space="preserve">4.2</w:t>
      </w:r>
      <w:r>
        <w:t xml:space="preserve"> </w:t>
      </w:r>
      <w:r>
        <w:t xml:space="preserve">Payment Method: All payments shall be made via ACH transfer, certified check, or wire transfer to the Banker's designated trust account held at a federally insured institution in United States New York City. Cash payments are not accepted in accordance with New York banking regulations.</w:t>
      </w:r>
    </w:p>
    <w:p>
      <w:pPr>
        <w:pStyle w:val="BodyText"/>
      </w:pPr>
      <w:r>
        <w:rPr>
          <w:bCs/>
          <w:b/>
        </w:rPr>
        <w:t xml:space="preserve">4.3</w:t>
      </w:r>
      <w:r>
        <w:t xml:space="preserve"> </w:t>
      </w:r>
      <w:r>
        <w:t xml:space="preserve">Late Payment: A late fee of 1.5% per month shall be applied to any outstanding balance exceeding fifteen (15) calendar days past the due date, in compliance with New York State General Obligations Law.</w:t>
      </w:r>
    </w:p>
    <w:p>
      <w:pPr>
        <w:pStyle w:val="BodyText"/>
      </w:pPr>
      <w:r>
        <w:rPr>
          <w:bCs/>
          <w:b/>
        </w:rPr>
        <w:t xml:space="preserve">4.4</w:t>
      </w:r>
      <w:r>
        <w:t xml:space="preserve"> </w:t>
      </w:r>
      <w:r>
        <w:t xml:space="preserve">Cancellation: Either party may terminate this engagement with thirty (30) days written notice. Upon cancellation, the Banker shall prorate and refund any unearned fees within fifteen (15) business days.</w:t>
      </w:r>
    </w:p>
    <w:p>
      <w:pPr>
        <w:pStyle w:val="BodyText"/>
      </w:pPr>
      <w:r>
        <w:rPr>
          <w:bCs/>
          <w:b/>
        </w:rPr>
        <w:t xml:space="preserve">4.5</w:t>
      </w:r>
      <w:r>
        <w:t xml:space="preserve"> </w:t>
      </w:r>
      <w:r>
        <w:t xml:space="preserve">Fee Adjustments: This Quotation Estimate is valid for thirty (30) days from the date of issue. The Banker reserves the right to adjust fees upon renewal to reflect changes in regulatory requirements, market conditions, or scope modifications.</w:t>
      </w:r>
    </w:p>
    <w:bookmarkEnd w:id="24"/>
    <w:bookmarkStart w:id="25" w:name="regulatory-compliance-disclosures"/>
    <w:p>
      <w:pPr>
        <w:pStyle w:val="Heading2"/>
      </w:pPr>
      <w:r>
        <w:t xml:space="preserve">5. Regulatory &amp; Compliance Disclosures</w:t>
      </w:r>
    </w:p>
    <w:p>
      <w:pPr>
        <w:pStyle w:val="FirstParagraph"/>
      </w:pPr>
      <w:r>
        <w:t xml:space="preserve">The Banker identified in this Quotation Estimate is duly registered with the New York State Department of Financial Services (NYDFS) and holds active Series 7, 63, 65, and 86 licenses through the Financial Industry Regulatory Authority (FINRA). All services described herein are provided in strict adherence to the Bank Secrecy Act, the Gramm-Leach-Bliley Act, and the Consumer Financial Protection Bureau (CFPB) regulations applicable within United States New York City. The client acknowledges that this Quotation Estimate does not constitute a guarantee of investment returns and that all financial products carry inherent risk.</w:t>
      </w:r>
    </w:p>
    <w:p>
      <w:pPr>
        <w:pStyle w:val="BodyText"/>
      </w:pPr>
      <w:r>
        <w:rPr>
          <w:bCs/>
          <w:b/>
        </w:rPr>
        <w:t xml:space="preserve">Important Note:</w:t>
      </w:r>
      <w:r>
        <w:t xml:space="preserve"> </w:t>
      </w:r>
      <w:r>
        <w:t xml:space="preserve">This Quotation Estimate is a good-faith projection of anticipated costs. Actual charges may vary based on transaction volume, market volatility, and the specific financial instruments deployed during the engagement. The Banker will provide a detailed reconciliation statement at the conclusion of each quarter.</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confirms understanding of all fees and terms outlined herein, and authorizes the Banker to commence services as described. This document, once executed, constitutes a binding service agreement for the twelve-month term specified.</w:t>
      </w:r>
    </w:p>
    <w:p>
      <w:pPr>
        <w:pStyle w:val="BodyText"/>
      </w:pPr>
      <w:r>
        <w:rPr>
          <w:bCs/>
          <w:b/>
        </w:rPr>
        <w:t xml:space="preserve">Banker (Service Provider)</w:t>
      </w:r>
    </w:p>
    <w:p>
      <w:pPr>
        <w:pStyle w:val="BodyText"/>
      </w:pPr>
      <w:r>
        <w:t xml:space="preserve">Mr. Jonathan R. Whitfield, CFA, CFP</w:t>
      </w:r>
    </w:p>
    <w:p>
      <w:pPr>
        <w:pStyle w:val="BodyText"/>
      </w:pPr>
      <w:r>
        <w:t xml:space="preserve">Meridian Capital Advisory Group</w:t>
      </w:r>
    </w:p>
    <w:p>
      <w:pPr>
        <w:pStyle w:val="BodyText"/>
      </w:pPr>
      <w:r>
        <w:t xml:space="preserve">200 Park Avenue, Suite 4200</w:t>
      </w:r>
    </w:p>
    <w:p>
      <w:pPr>
        <w:pStyle w:val="BodyText"/>
      </w:pPr>
      <w:r>
        <w:t xml:space="preserve">New York, NY 10166</w:t>
      </w:r>
    </w:p>
    <w:p>
      <w:pPr>
        <w:pStyle w:val="BodyText"/>
      </w:pPr>
      <w:r>
        <w:t xml:space="preserve">United States New York City</w:t>
      </w:r>
    </w:p>
    <w:p>
      <w:pPr>
        <w:pStyle w:val="BodyText"/>
      </w:pPr>
      <w:r>
        <w:t xml:space="preserve">Signature &amp; Date</w:t>
      </w:r>
    </w:p>
    <w:p>
      <w:pPr>
        <w:pStyle w:val="BodyText"/>
      </w:pPr>
      <w:r>
        <w:rPr>
          <w:bCs/>
          <w:b/>
        </w:rPr>
        <w:t xml:space="preserve">Client (Authorized Signatory)</w:t>
      </w:r>
    </w:p>
    <w:p>
      <w:pPr>
        <w:pStyle w:val="BodyText"/>
      </w:pPr>
      <w:r>
        <w:t xml:space="preserve">Harold &amp; Patricia Ellison</w:t>
      </w:r>
    </w:p>
    <w:p>
      <w:pPr>
        <w:pStyle w:val="BodyText"/>
      </w:pPr>
      <w:r>
        <w:t xml:space="preserve">148 West 87th Street</w:t>
      </w:r>
    </w:p>
    <w:p>
      <w:pPr>
        <w:pStyle w:val="BodyText"/>
      </w:pPr>
      <w:r>
        <w:t xml:space="preserve">New York, NY 10024</w:t>
      </w:r>
    </w:p>
    <w:p>
      <w:pPr>
        <w:pStyle w:val="BodyText"/>
      </w:pPr>
      <w:r>
        <w:t xml:space="preserve">United States New York City</w:t>
      </w:r>
    </w:p>
    <w:p>
      <w:pPr>
        <w:pStyle w:val="BodyText"/>
      </w:pPr>
      <w:r>
        <w:t xml:space="preserve">Signature &amp; Date</w:t>
      </w:r>
    </w:p>
    <w:p>
      <w:pPr>
        <w:pStyle w:val="BodyText"/>
      </w:pPr>
      <w:r>
        <w:t xml:space="preserve">Quotation Estimate No. QEST-2025-NYC-04782 — Issued by a licensed Banker in United States New York City — This document is confidential and intended solely for the named client. Unauthorized reproduction or distribution is prohibited under New York State law.</w:t>
      </w:r>
    </w:p>
    <w:p>
      <w:pPr>
        <w:pStyle w:val="BodyText"/>
      </w:pPr>
      <w:r>
        <w:t xml:space="preserve">© 2025 Meridian Capital Advisory Group. All rights reserved. NMLS ID: 4829173 | FINRA CRD: 6742891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United States New York City</dc:title>
  <dc:creator/>
  <dc:language>en</dc:language>
  <cp:keywords/>
  <dcterms:created xsi:type="dcterms:W3CDTF">2026-10-10T05:54:12Z</dcterms:created>
  <dcterms:modified xsi:type="dcterms:W3CDTF">2026-10-10T05:54:12Z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