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Banker Services — United States San Francisco</w:t>
      </w:r>
    </w:p>
    <w:p>
      <w:pPr>
        <w:pStyle w:val="BodyText"/>
      </w:pPr>
      <w:r>
        <w:t xml:space="preserve">Document Reference: QTE-SF-2025-04871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QTE-SF-2025-04871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Golden Gate Financial Advisory Group, LLC</w:t>
            </w:r>
          </w:p>
        </w:tc>
        <w:tc>
          <w:tcPr/>
          <w:p>
            <w:pPr>
              <w:pStyle w:val="Compact"/>
              <w:jc w:val="left"/>
            </w:pPr>
            <w:r>
              <w:t xml:space="preserve">Location</w:t>
            </w:r>
          </w:p>
        </w:tc>
        <w:tc>
          <w:tcPr/>
          <w:p>
            <w:pPr>
              <w:pStyle w:val="Compact"/>
              <w:jc w:val="left"/>
            </w:pPr>
            <w:r>
              <w:t xml:space="preserve">United States San Francisco, CA 94105</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United States San Francisco, California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Golden Gate Financial Advisory Group, LLC, a licensed financial services firm headquartered in the United States San Francisco metropolitan area, to provide a comprehensive and itemized cost breakdown for the engagement of a senior</w:t>
      </w:r>
      <w:r>
        <w:t xml:space="preserve"> </w:t>
      </w:r>
      <w:r>
        <w:t xml:space="preserve">Banker</w:t>
      </w:r>
      <w:r>
        <w:t xml:space="preserve"> </w:t>
      </w:r>
      <w:r>
        <w:t xml:space="preserve">professional. This document serves as a binding proposal for the scope of services, associated fees, and contractual terms governing the provision of banking advisory and operational services within the United States San Francisco jurisdiction. All figures presented in this Quotation Estimate are denominated in United States Dollars (USD) and reflect current market rates as of the date of issue.</w:t>
      </w:r>
    </w:p>
    <w:bookmarkEnd w:id="21"/>
    <w:bookmarkStart w:id="22" w:name="scope-of-banker-services"/>
    <w:p>
      <w:pPr>
        <w:pStyle w:val="Heading2"/>
      </w:pPr>
      <w:r>
        <w:t xml:space="preserve">2. Scope of Banker Services</w:t>
      </w:r>
    </w:p>
    <w:p>
      <w:pPr>
        <w:pStyle w:val="FirstParagraph"/>
      </w:pPr>
      <w:r>
        <w:t xml:space="preserve">The</w:t>
      </w:r>
      <w:r>
        <w:t xml:space="preserve"> </w:t>
      </w:r>
      <w:r>
        <w:t xml:space="preserve">Banker</w:t>
      </w:r>
      <w:r>
        <w:t xml:space="preserve"> </w:t>
      </w:r>
      <w:r>
        <w:t xml:space="preserve">engagement outlined in this Quotation Estimate encompasses a full spectrum of financial services tailored to the client's operational needs in the United States San Francisco market. The Banker will be responsible for managing client relationships, executing transactional banking operations, providing strategic financial advisory, and ensuring full compliance with all applicable federal, state, and local banking regulations as enforced by the Federal Reserve Bank of San Francisco, the California Department of Financial Protection and Innovation (DFPI), and the Office of the Comptroller of the Currency (OCC).</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Banker Retainer — Dedicated relationship management, account oversight, and daily operational banking support in United States San Francisco</w:t>
            </w:r>
          </w:p>
        </w:tc>
        <w:tc>
          <w:tcPr/>
          <w:p>
            <w:pPr>
              <w:pStyle w:val="Compact"/>
              <w:jc w:val="left"/>
            </w:pPr>
            <w:r>
              <w:t xml:space="preserve">Monthly (12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Strategic Financial Advisory — Portfolio analysis, capital allocation strategy, and investment guidance specific to the San Francisco technology and commercial real estate sectors</w:t>
            </w:r>
          </w:p>
        </w:tc>
        <w:tc>
          <w:tcPr/>
          <w:p>
            <w:pPr>
              <w:pStyle w:val="Compact"/>
              <w:jc w:val="left"/>
            </w:pPr>
            <w:r>
              <w:t xml:space="preserve">Quarterly (4 sessions)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Transaction Execution &amp; Settlement — Wire transfers, letter of credit issuance, trade finance facilitation, and multi-currency settlement services</w:t>
            </w:r>
          </w:p>
        </w:tc>
        <w:tc>
          <w:tcPr/>
          <w:p>
            <w:pPr>
              <w:pStyle w:val="Compact"/>
              <w:jc w:val="left"/>
            </w:pPr>
            <w:r>
              <w:t xml:space="preserve">Per transaction (est. 200 txns)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Regulatory Compliance &amp; Reporting — AML/KYC due diligence, SAR filings, and quarterly compliance reporting aligned with United States San Francisco banking regulations</w:t>
            </w:r>
          </w:p>
        </w:tc>
        <w:tc>
          <w:tcPr/>
          <w:p>
            <w:pPr>
              <w:pStyle w:val="Compact"/>
              <w:jc w:val="left"/>
            </w:pPr>
            <w:r>
              <w:t xml:space="preserve">Quarterly (4 reports)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Credit &amp; Lending Analysis — Creditworthiness assessment, loan structuring, syndication support, and collateral evaluation for commercial lending in the San Francisco market</w:t>
            </w:r>
          </w:p>
        </w:tc>
        <w:tc>
          <w:tcPr/>
          <w:p>
            <w:pPr>
              <w:pStyle w:val="Compact"/>
              <w:jc w:val="left"/>
            </w:pPr>
            <w:r>
              <w:t xml:space="preserve">Per engagement (est. 6)</w:t>
            </w:r>
          </w:p>
        </w:tc>
        <w:tc>
          <w:tcPr/>
          <w:p>
            <w:pPr>
              <w:pStyle w:val="Compact"/>
              <w:jc w:val="left"/>
            </w:pPr>
            <w:r>
              <w:t xml:space="preserve">$5,500.00</w:t>
            </w:r>
          </w:p>
        </w:tc>
        <w:tc>
          <w:tcPr/>
          <w:p>
            <w:pPr>
              <w:pStyle w:val="Compact"/>
              <w:jc w:val="left"/>
            </w:pPr>
            <w:r>
              <w:t xml:space="preserve">$33,000.00</w:t>
            </w:r>
          </w:p>
        </w:tc>
      </w:tr>
      <w:tr>
        <w:tc>
          <w:tcPr/>
          <w:p>
            <w:pPr>
              <w:pStyle w:val="Compact"/>
              <w:jc w:val="left"/>
            </w:pPr>
            <w:r>
              <w:t xml:space="preserve">06</w:t>
            </w:r>
          </w:p>
        </w:tc>
        <w:tc>
          <w:tcPr/>
          <w:p>
            <w:pPr>
              <w:pStyle w:val="Compact"/>
              <w:jc w:val="left"/>
            </w:pPr>
            <w:r>
              <w:t xml:space="preserve">On-Site Consultation — In-person meetings at the client's United States San Francisco office for board presentations, due diligence, and relationship management</w:t>
            </w:r>
          </w:p>
        </w:tc>
        <w:tc>
          <w:tcPr/>
          <w:p>
            <w:pPr>
              <w:pStyle w:val="Compact"/>
              <w:jc w:val="left"/>
            </w:pPr>
            <w:r>
              <w:t xml:space="preserve">Per visit (est. 12 visits)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Technology &amp; Systems Integration — API integration with core banking platforms, SWIFT messaging setup, and secure data transfer infrastructure</w:t>
            </w:r>
          </w:p>
        </w:tc>
        <w:tc>
          <w:tcPr/>
          <w:p>
            <w:pPr>
              <w:pStyle w:val="Compact"/>
              <w:jc w:val="left"/>
            </w:pPr>
            <w:r>
              <w:t xml:space="preserve">One-time setup</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Contingency &amp; After-Hours Support — 24/7 emergency banking support, crisis management, and after-hours transaction processing</w:t>
            </w:r>
          </w:p>
        </w:tc>
        <w:tc>
          <w:tcPr/>
          <w:p>
            <w:pPr>
              <w:pStyle w:val="Compact"/>
              <w:jc w:val="left"/>
            </w:pPr>
            <w:r>
              <w:t xml:space="preserve">Annual coverage</w:t>
            </w:r>
          </w:p>
        </w:tc>
        <w:tc>
          <w:tcPr/>
          <w:p>
            <w:pPr>
              <w:pStyle w:val="Compact"/>
              <w:jc w:val="left"/>
            </w:pPr>
            <w:r>
              <w:t xml:space="preserve">$8,750.00</w:t>
            </w:r>
          </w:p>
        </w:tc>
        <w:tc>
          <w:tcPr/>
          <w:p>
            <w:pPr>
              <w:pStyle w:val="Compact"/>
              <w:jc w:val="left"/>
            </w:pPr>
            <w:r>
              <w:t xml:space="preserve">$8,750.00</w:t>
            </w:r>
          </w:p>
        </w:tc>
      </w:tr>
      <w:tr>
        <w:tc>
          <w:tcPr>
            <w:gridSpan w:val="4"/>
          </w:tcPr>
          <w:p>
            <w:pPr>
              <w:pStyle w:val="Compact"/>
              <w:jc w:val="left"/>
            </w:pPr>
            <w:r>
              <w:t xml:space="preserve">SUBTOTAL</w:t>
            </w:r>
          </w:p>
        </w:tc>
        <w:tc>
          <w:tcPr/>
          <w:p>
            <w:pPr>
              <w:pStyle w:val="Compact"/>
              <w:jc w:val="left"/>
            </w:pPr>
            <w:r>
              <w:t xml:space="preserve">$326,650.00</w:t>
            </w:r>
          </w:p>
        </w:tc>
      </w:tr>
      <w:tr>
        <w:tc>
          <w:tcPr>
            <w:gridSpan w:val="4"/>
          </w:tcPr>
          <w:p>
            <w:pPr>
              <w:pStyle w:val="Compact"/>
              <w:jc w:val="left"/>
            </w:pPr>
            <w:r>
              <w:t xml:space="preserve">Applicable Sales &amp; Service Tax (California, 8.75%)</w:t>
            </w:r>
          </w:p>
        </w:tc>
        <w:tc>
          <w:tcPr/>
          <w:p>
            <w:pPr>
              <w:pStyle w:val="Compact"/>
              <w:jc w:val="left"/>
            </w:pPr>
            <w:r>
              <w:t xml:space="preserve">$28,581.88</w:t>
            </w:r>
          </w:p>
        </w:tc>
      </w:tr>
      <w:tr>
        <w:tc>
          <w:tcPr>
            <w:gridSpan w:val="4"/>
          </w:tcPr>
          <w:p>
            <w:pPr>
              <w:pStyle w:val="Compact"/>
              <w:jc w:val="left"/>
            </w:pPr>
            <w:r>
              <w:t xml:space="preserve">GRAND TOTAL (USD)</w:t>
            </w:r>
          </w:p>
        </w:tc>
        <w:tc>
          <w:tcPr/>
          <w:p>
            <w:pPr>
              <w:pStyle w:val="Compact"/>
              <w:jc w:val="left"/>
            </w:pPr>
            <w:r>
              <w:t xml:space="preserve">$355,231.88</w:t>
            </w:r>
          </w:p>
        </w:tc>
      </w:tr>
    </w:tbl>
    <w:p>
      <w:pPr>
        <w:pStyle w:val="BodyText"/>
      </w:pPr>
      <w:r>
        <w:rPr>
          <w:bCs/>
          <w:b/>
        </w:rPr>
        <w:t xml:space="preserve">Note:</w:t>
      </w:r>
      <w:r>
        <w:t xml:space="preserve"> </w:t>
      </w:r>
      <w:r>
        <w:t xml:space="preserve">This Quotation Estimate is valid for thirty (30) calendar days from the date of issue. All pricing is subject to revision based on changes in United States San Francisco regulatory requirements, Federal Reserve interest rate adjustments, or material changes in the scope of Banker services requested by the client. Any additional services beyond the scope defined herein will be subject to a supplementary Quotation Estimate issued prior to execution.</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constitutes a non-binding proposal until formally accepted in writing by both parties. Upon acceptance, it shall form part of the Master Service Agreement governing the Banker engagement in the United States San Francisco jurisdiction.</w:t>
      </w:r>
    </w:p>
    <w:p>
      <w:pPr>
        <w:pStyle w:val="BodyText"/>
      </w:pPr>
      <w:r>
        <w:rPr>
          <w:bCs/>
          <w:b/>
        </w:rPr>
        <w:t xml:space="preserve">4.2</w:t>
      </w:r>
      <w:r>
        <w:t xml:space="preserve"> </w:t>
      </w:r>
      <w:r>
        <w:t xml:space="preserve">Payment terms: 30% of the total Quotation Estimate value is due upon contract execution. The remaining 70% shall be invoiced monthly in arrears, with payment due within thirty (30) days of invoice date. Late payments shall accrue interest at a rate of 1.5% per month, consistent with California commercial lending standards.</w:t>
      </w:r>
    </w:p>
    <w:p>
      <w:pPr>
        <w:pStyle w:val="BodyText"/>
      </w:pPr>
      <w:r>
        <w:rPr>
          <w:bCs/>
          <w:b/>
        </w:rPr>
        <w:t xml:space="preserve">4.3</w:t>
      </w:r>
      <w:r>
        <w:t xml:space="preserve"> </w:t>
      </w:r>
      <w:r>
        <w:t xml:space="preserve">The Banker engaged under this Quotation Estimate shall maintain all necessary professional licenses, including but not limited to a California-issued banking license, Series 7 and Series 63 securities registrations, and any additional credentials required by the United States San Francisco financial regulatory framework.</w:t>
      </w:r>
    </w:p>
    <w:p>
      <w:pPr>
        <w:pStyle w:val="BodyText"/>
      </w:pPr>
      <w:r>
        <w:rPr>
          <w:bCs/>
          <w:b/>
        </w:rPr>
        <w:t xml:space="preserve">4.4</w:t>
      </w:r>
      <w:r>
        <w:t xml:space="preserve"> </w:t>
      </w:r>
      <w:r>
        <w:t xml:space="preserve">All services rendered under this Quotation Estimate shall be performed in strict accordance with the Bank Secrecy Act (BSA), the Gramm-Leach-Bliley Act (GLBA), the California Consumer Privacy Act (CCPA), and all applicable United States federal and state banking statutes.</w:t>
      </w:r>
    </w:p>
    <w:p>
      <w:pPr>
        <w:pStyle w:val="BodyText"/>
      </w:pPr>
      <w:r>
        <w:rPr>
          <w:bCs/>
          <w:b/>
        </w:rPr>
        <w:t xml:space="preserve">4.5</w:t>
      </w:r>
      <w:r>
        <w:t xml:space="preserve"> </w:t>
      </w:r>
      <w:r>
        <w:t xml:space="preserve">Either party may terminate the engagement with sixty (60) days written notice. In the event of early termination, all fees for services rendered through the termination date, as outlined in this Quotation Estimate, shall remain payable.</w:t>
      </w:r>
    </w:p>
    <w:p>
      <w:pPr>
        <w:pStyle w:val="BodyText"/>
      </w:pPr>
      <w:r>
        <w:rPr>
          <w:bCs/>
          <w:b/>
        </w:rPr>
        <w:t xml:space="preserve">4.6</w:t>
      </w:r>
      <w:r>
        <w:t xml:space="preserve"> </w:t>
      </w:r>
      <w:r>
        <w:t xml:space="preserve">This Quotation Estimate is governed by the laws of the State of California, United States, and any disputes arising hereunder shall be subject to the exclusive jurisdiction of the courts located in San Francisco County, United States San Francisco.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fee structure outlined herein for the engagement of the Banker services in the United States San Francisco area. This acceptance renders the Quotation Estimate a binding commercial document effective upon the date of the last signature.</w:t>
      </w:r>
    </w:p>
    <w:p>
      <w:pPr>
        <w:pStyle w:val="BodyText"/>
      </w:pPr>
      <w:r>
        <w:rPr>
          <w:bCs/>
          <w:b/>
        </w:rPr>
        <w:t xml:space="preserve">For: Golden Gate Financial Advisory Group, LLC</w:t>
      </w:r>
    </w:p>
    <w:p>
      <w:pPr>
        <w:pStyle w:val="BodyText"/>
      </w:pPr>
      <w:r>
        <w:t xml:space="preserve">Authorized Signatory — Banker Services Division</w:t>
      </w:r>
    </w:p>
    <w:p>
      <w:pPr>
        <w:pStyle w:val="BodyText"/>
      </w:pPr>
      <w:r>
        <w:t xml:space="preserve">Name: ______________________________</w:t>
      </w:r>
      <w:r>
        <w:br/>
      </w:r>
      <w:r>
        <w:t xml:space="preserve">Title: Senior Banker / Managing Director</w:t>
      </w:r>
      <w:r>
        <w:br/>
      </w:r>
      <w:r>
        <w:t xml:space="preserve">Date: ______________________________</w:t>
      </w:r>
    </w:p>
    <w:p>
      <w:pPr>
        <w:pStyle w:val="BodyText"/>
      </w:pPr>
      <w:r>
        <w:rPr>
          <w:bCs/>
          <w:b/>
        </w:rPr>
        <w:t xml:space="preserve">For: Client / Organization</w:t>
      </w:r>
    </w:p>
    <w:p>
      <w:pPr>
        <w:pStyle w:val="BodyText"/>
      </w:pPr>
      <w:r>
        <w:t xml:space="preserve">Authorized Representative</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t xml:space="preserve">Golden Gate Financial Advisory Group, LLC • 555 Market Street, Suite 2800, United States San Francisco, CA 94105</w:t>
      </w:r>
    </w:p>
    <w:p>
      <w:pPr>
        <w:pStyle w:val="BodyText"/>
      </w:pPr>
      <w:r>
        <w:t xml:space="preserve">Phone: +1 (415) 555-0192 • Email: quotations@ggfinancialsf.com • NMLS ID: 1847293</w:t>
      </w:r>
    </w:p>
    <w:p>
      <w:pPr>
        <w:pStyle w:val="BodyText"/>
      </w:pPr>
      <w:r>
        <w:t xml:space="preserve">This Quotation Estimate is the property of Golden Gate Financial Advisory Group, LLC. Unauthorized reproduction or distribution is prohibited.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United States San Francisco</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