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rPr>
          <w:bCs/>
          <w:b/>
        </w:rPr>
        <w:t xml:space="preserve">Greenfield Biological Consultancy Pty Ltd</w:t>
      </w:r>
    </w:p>
    <w:p>
      <w:pPr>
        <w:pStyle w:val="BodyText"/>
      </w:pPr>
      <w:r>
        <w:t xml:space="preserve">Level 12, 200 George Street, Sydney NSW 2000, Australia</w:t>
      </w:r>
    </w:p>
    <w:p>
      <w:pPr>
        <w:pStyle w:val="BodyText"/>
      </w:pPr>
      <w:r>
        <w:t xml:space="preserve">ABN: 48 215 673 901 | ACN: 612 345 789</w:t>
      </w:r>
    </w:p>
    <w:p>
      <w:pPr>
        <w:pStyle w:val="BodyText"/>
      </w:pPr>
      <w:r>
        <w:t xml:space="preserve">Phone: +61 2 9355 4200 | Email: enquiries@greenfieldbio.com.au</w:t>
      </w:r>
    </w:p>
    <w:bookmarkEnd w:id="20"/>
    <w:p>
      <w:pPr>
        <w:pStyle w:val="BodyText"/>
      </w:pPr>
      <w:r>
        <w:rPr>
          <w:bCs/>
          <w:b/>
        </w:rPr>
        <w:t xml:space="preserve">Quotation No.:</w:t>
      </w:r>
      <w:r>
        <w:t xml:space="preserve"> </w:t>
      </w:r>
      <w:r>
        <w:t xml:space="preserve">QTE-2025-0487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Harbourview Development Group Ltd</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Greenfield Biological Consultancy Pty Ltd to Harbourview Development Group Ltd in relation to the engagement of a qualified</w:t>
      </w:r>
      <w:r>
        <w:t xml:space="preserve"> </w:t>
      </w:r>
      <w:r>
        <w:t xml:space="preserve">Biologist</w:t>
      </w:r>
      <w:r>
        <w:t xml:space="preserve"> </w:t>
      </w:r>
      <w:r>
        <w:t xml:space="preserve">to deliver ecological and environmental assessment services for the proposed mixed-use development at Barangaroo South,</w:t>
      </w:r>
      <w:r>
        <w:t xml:space="preserve"> </w:t>
      </w:r>
      <w:r>
        <w:t xml:space="preserve">Australia Sydney</w:t>
      </w:r>
      <w:r>
        <w:t xml:space="preserve">. This document outlines the scope of work, professional fees, associated costs, and terms governing the engagement. All pricing is quoted in Australian Dollars (AUD) and is inclusive of Goods and Services Tax (GST) at the current rate of 10%.</w:t>
      </w:r>
    </w:p>
    <w:bookmarkEnd w:id="21"/>
    <w:bookmarkStart w:id="22" w:name="scope-of-services-biologist-engagement"/>
    <w:p>
      <w:pPr>
        <w:pStyle w:val="Heading2"/>
      </w:pPr>
      <w:r>
        <w:t xml:space="preserve">2. Scope of Services – Biologist Engagement</w:t>
      </w:r>
    </w:p>
    <w:p>
      <w:pPr>
        <w:pStyle w:val="FirstParagraph"/>
      </w:pPr>
      <w:r>
        <w:t xml:space="preserve">The</w:t>
      </w:r>
      <w:r>
        <w:t xml:space="preserve"> </w:t>
      </w:r>
      <w:r>
        <w:t xml:space="preserve">Biologist</w:t>
      </w:r>
      <w:r>
        <w:t xml:space="preserve"> </w:t>
      </w:r>
      <w:r>
        <w:t xml:space="preserve">engaged under this</w:t>
      </w:r>
      <w:r>
        <w:t xml:space="preserve"> </w:t>
      </w:r>
      <w:r>
        <w:t xml:space="preserve">Quotation Estimate</w:t>
      </w:r>
      <w:r>
        <w:t xml:space="preserve"> </w:t>
      </w:r>
      <w:r>
        <w:t xml:space="preserve">will provide the following services in accordance with the Environmental Planning and Assessment Act 1979 (NSW), the Biodiversity Conservation Act 2016 (NSW), and relevant</w:t>
      </w:r>
      <w:r>
        <w:t xml:space="preserve"> </w:t>
      </w:r>
      <w:r>
        <w:t xml:space="preserve">Australia Sydney</w:t>
      </w:r>
      <w:r>
        <w:t xml:space="preserve"> </w:t>
      </w:r>
      <w:r>
        <w:t xml:space="preserve">local government planning controls:</w:t>
      </w:r>
    </w:p>
    <w:p>
      <w:pPr>
        <w:numPr>
          <w:ilvl w:val="0"/>
          <w:numId w:val="1001"/>
        </w:numPr>
        <w:pStyle w:val="Compact"/>
      </w:pPr>
      <w:r>
        <w:t xml:space="preserve">Desktop ecological review and literature search for the Barangaroo South precinct, including identification of listed species, ecological communities, and threatened flora and fauna relevant to the</w:t>
      </w:r>
      <w:r>
        <w:t xml:space="preserve"> </w:t>
      </w:r>
      <w:r>
        <w:t xml:space="preserve">Australia Sydney</w:t>
      </w:r>
      <w:r>
        <w:t xml:space="preserve"> </w:t>
      </w:r>
      <w:r>
        <w:t xml:space="preserve">coastal zone.</w:t>
      </w:r>
    </w:p>
    <w:p>
      <w:pPr>
        <w:numPr>
          <w:ilvl w:val="0"/>
          <w:numId w:val="1001"/>
        </w:numPr>
        <w:pStyle w:val="Compact"/>
      </w:pPr>
      <w:r>
        <w:t xml:space="preserve">Field surveys including vegetation mapping, fauna transects, and habitat condition assessments across approximately 12 hectares of the development site.</w:t>
      </w:r>
    </w:p>
    <w:p>
      <w:pPr>
        <w:numPr>
          <w:ilvl w:val="0"/>
          <w:numId w:val="1001"/>
        </w:numPr>
        <w:pStyle w:val="Compact"/>
      </w:pPr>
      <w:r>
        <w:t xml:space="preserve">Preparation of a Biodiversity Impact Assessment (BIA) and Ecological Management Plan (EMP) compliant with NSW Department of Planning, Housing and Infrastructure guidelines.</w:t>
      </w:r>
    </w:p>
    <w:p>
      <w:pPr>
        <w:numPr>
          <w:ilvl w:val="0"/>
          <w:numId w:val="1001"/>
        </w:numPr>
        <w:pStyle w:val="Compact"/>
      </w:pPr>
      <w:r>
        <w:t xml:space="preserve">Consultation with Sydney Water, NSW National Parks and Wildlife Service, and the City of Sydney Council regarding ecological offsets and mitigation measures.</w:t>
      </w:r>
    </w:p>
    <w:p>
      <w:pPr>
        <w:numPr>
          <w:ilvl w:val="0"/>
          <w:numId w:val="1001"/>
        </w:numPr>
        <w:pStyle w:val="Compact"/>
      </w:pPr>
      <w:r>
        <w:t xml:space="preserve">Provision of a qualified</w:t>
      </w:r>
      <w:r>
        <w:t xml:space="preserve"> </w:t>
      </w:r>
      <w:r>
        <w:t xml:space="preserve">Biologist</w:t>
      </w:r>
      <w:r>
        <w:t xml:space="preserve"> </w:t>
      </w:r>
      <w:r>
        <w:t xml:space="preserve">to attend up to four (4) stakeholder meetings and council submission hearings during the Development Application (DA) process.</w:t>
      </w:r>
    </w:p>
    <w:p>
      <w:pPr>
        <w:numPr>
          <w:ilvl w:val="0"/>
          <w:numId w:val="1001"/>
        </w:numPr>
        <w:pStyle w:val="Compact"/>
      </w:pPr>
      <w:r>
        <w:t xml:space="preserve">Post-approval ecological monitoring and compliance reporting for a period of twelve (12) months following construction commencement.</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Quantity</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Desktop ecological review and literature search (Biologist – Senior)</w:t>
            </w:r>
          </w:p>
        </w:tc>
        <w:tc>
          <w:tcPr/>
          <w:p>
            <w:pPr>
              <w:pStyle w:val="Compact"/>
              <w:jc w:val="left"/>
            </w:pPr>
            <w:r>
              <w:t xml:space="preserve">Hour</w:t>
            </w:r>
          </w:p>
        </w:tc>
        <w:tc>
          <w:tcPr/>
          <w:p>
            <w:pPr>
              <w:pStyle w:val="Compact"/>
              <w:jc w:val="left"/>
            </w:pPr>
            <w:r>
              <w:t xml:space="preserve">$185.00</w:t>
            </w:r>
          </w:p>
        </w:tc>
        <w:tc>
          <w:tcPr/>
          <w:p>
            <w:pPr>
              <w:pStyle w:val="Compact"/>
              <w:jc w:val="left"/>
            </w:pPr>
            <w:r>
              <w:t xml:space="preserve">32</w:t>
            </w:r>
          </w:p>
        </w:tc>
        <w:tc>
          <w:tcPr/>
          <w:p>
            <w:pPr>
              <w:pStyle w:val="Compact"/>
              <w:jc w:val="left"/>
            </w:pPr>
            <w:r>
              <w:t xml:space="preserve">$5,920.00</w:t>
            </w:r>
          </w:p>
        </w:tc>
      </w:tr>
      <w:tr>
        <w:tc>
          <w:tcPr/>
          <w:p>
            <w:pPr>
              <w:pStyle w:val="Compact"/>
              <w:jc w:val="left"/>
            </w:pPr>
            <w:r>
              <w:t xml:space="preserve">2</w:t>
            </w:r>
          </w:p>
        </w:tc>
        <w:tc>
          <w:tcPr/>
          <w:p>
            <w:pPr>
              <w:pStyle w:val="Compact"/>
              <w:jc w:val="left"/>
            </w:pPr>
            <w:r>
              <w:t xml:space="preserve">Field surveys – vegetation, fauna, and habitat mapping (Biologist – Senior + 2 Technicians)</w:t>
            </w:r>
          </w:p>
        </w:tc>
        <w:tc>
          <w:tcPr/>
          <w:p>
            <w:pPr>
              <w:pStyle w:val="Compact"/>
              <w:jc w:val="left"/>
            </w:pPr>
            <w:r>
              <w:t xml:space="preserve">Day</w:t>
            </w:r>
          </w:p>
        </w:tc>
        <w:tc>
          <w:tcPr/>
          <w:p>
            <w:pPr>
              <w:pStyle w:val="Compact"/>
              <w:jc w:val="left"/>
            </w:pPr>
            <w:r>
              <w:t xml:space="preserve">$1,450.00</w:t>
            </w:r>
          </w:p>
        </w:tc>
        <w:tc>
          <w:tcPr/>
          <w:p>
            <w:pPr>
              <w:pStyle w:val="Compact"/>
              <w:jc w:val="left"/>
            </w:pPr>
            <w:r>
              <w:t xml:space="preserve">18</w:t>
            </w:r>
          </w:p>
        </w:tc>
        <w:tc>
          <w:tcPr/>
          <w:p>
            <w:pPr>
              <w:pStyle w:val="Compact"/>
              <w:jc w:val="left"/>
            </w:pPr>
            <w:r>
              <w:t xml:space="preserve">$26,100.00</w:t>
            </w:r>
          </w:p>
        </w:tc>
      </w:tr>
      <w:tr>
        <w:tc>
          <w:tcPr/>
          <w:p>
            <w:pPr>
              <w:pStyle w:val="Compact"/>
              <w:jc w:val="left"/>
            </w:pPr>
            <w:r>
              <w:t xml:space="preserve">3</w:t>
            </w:r>
          </w:p>
        </w:tc>
        <w:tc>
          <w:tcPr/>
          <w:p>
            <w:pPr>
              <w:pStyle w:val="Compact"/>
              <w:jc w:val="left"/>
            </w:pPr>
            <w:r>
              <w:t xml:space="preserve">Preparation of Biodiversity Impact Assessment report</w:t>
            </w:r>
          </w:p>
        </w:tc>
        <w:tc>
          <w:tcPr/>
          <w:p>
            <w:pPr>
              <w:pStyle w:val="Compact"/>
              <w:jc w:val="left"/>
            </w:pPr>
            <w:r>
              <w:t xml:space="preserve">Item</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Preparation of Ecological Management Plan</w:t>
            </w:r>
          </w:p>
        </w:tc>
        <w:tc>
          <w:tcPr/>
          <w:p>
            <w:pPr>
              <w:pStyle w:val="Compact"/>
              <w:jc w:val="left"/>
            </w:pPr>
            <w:r>
              <w:t xml:space="preserve">Item</w:t>
            </w:r>
          </w:p>
        </w:tc>
        <w:tc>
          <w:tcPr/>
          <w:p>
            <w:pPr>
              <w:pStyle w:val="Compact"/>
              <w:jc w:val="left"/>
            </w:pPr>
            <w:r>
              <w:t xml:space="preserve">$6,200.00</w:t>
            </w:r>
          </w:p>
        </w:tc>
        <w:tc>
          <w:tcPr/>
          <w:p>
            <w:pPr>
              <w:pStyle w:val="Compact"/>
              <w:jc w:val="left"/>
            </w:pPr>
            <w:r>
              <w:t xml:space="preserve">1</w:t>
            </w:r>
          </w:p>
        </w:tc>
        <w:tc>
          <w:tcPr/>
          <w:p>
            <w:pPr>
              <w:pStyle w:val="Compact"/>
              <w:jc w:val="left"/>
            </w:pPr>
            <w:r>
              <w:t xml:space="preserve">$6,200.00</w:t>
            </w:r>
          </w:p>
        </w:tc>
      </w:tr>
      <w:tr>
        <w:tc>
          <w:tcPr/>
          <w:p>
            <w:pPr>
              <w:pStyle w:val="Compact"/>
              <w:jc w:val="left"/>
            </w:pPr>
            <w:r>
              <w:t xml:space="preserve">5</w:t>
            </w:r>
          </w:p>
        </w:tc>
        <w:tc>
          <w:tcPr/>
          <w:p>
            <w:pPr>
              <w:pStyle w:val="Compact"/>
              <w:jc w:val="left"/>
            </w:pPr>
            <w:r>
              <w:t xml:space="preserve">Stakeholder and council meeting attendance (Biologist – Senior)</w:t>
            </w:r>
          </w:p>
        </w:tc>
        <w:tc>
          <w:tcPr/>
          <w:p>
            <w:pPr>
              <w:pStyle w:val="Compact"/>
              <w:jc w:val="left"/>
            </w:pPr>
            <w:r>
              <w:t xml:space="preserve">Meeting</w:t>
            </w:r>
          </w:p>
        </w:tc>
        <w:tc>
          <w:tcPr/>
          <w:p>
            <w:pPr>
              <w:pStyle w:val="Compact"/>
              <w:jc w:val="left"/>
            </w:pPr>
            <w:r>
              <w:t xml:space="preserve">$650.00</w:t>
            </w:r>
          </w:p>
        </w:tc>
        <w:tc>
          <w:tcPr/>
          <w:p>
            <w:pPr>
              <w:pStyle w:val="Compact"/>
              <w:jc w:val="left"/>
            </w:pPr>
            <w:r>
              <w:t xml:space="preserve">4</w:t>
            </w:r>
          </w:p>
        </w:tc>
        <w:tc>
          <w:tcPr/>
          <w:p>
            <w:pPr>
              <w:pStyle w:val="Compact"/>
              <w:jc w:val="left"/>
            </w:pPr>
            <w:r>
              <w:t xml:space="preserve">$2,600.00</w:t>
            </w:r>
          </w:p>
        </w:tc>
      </w:tr>
      <w:tr>
        <w:tc>
          <w:tcPr/>
          <w:p>
            <w:pPr>
              <w:pStyle w:val="Compact"/>
              <w:jc w:val="left"/>
            </w:pPr>
            <w:r>
              <w:t xml:space="preserve">6</w:t>
            </w:r>
          </w:p>
        </w:tc>
        <w:tc>
          <w:tcPr/>
          <w:p>
            <w:pPr>
              <w:pStyle w:val="Compact"/>
              <w:jc w:val="left"/>
            </w:pPr>
            <w:r>
              <w:t xml:space="preserve">Post-approval ecological monitoring (12 months, quarterly visits)</w:t>
            </w:r>
          </w:p>
        </w:tc>
        <w:tc>
          <w:tcPr/>
          <w:p>
            <w:pPr>
              <w:pStyle w:val="Compact"/>
              <w:jc w:val="left"/>
            </w:pPr>
            <w:r>
              <w:t xml:space="preserve">Visit</w:t>
            </w:r>
          </w:p>
        </w:tc>
        <w:tc>
          <w:tcPr/>
          <w:p>
            <w:pPr>
              <w:pStyle w:val="Compact"/>
              <w:jc w:val="left"/>
            </w:pPr>
            <w:r>
              <w:t xml:space="preserve">$3,800.00</w:t>
            </w:r>
          </w:p>
        </w:tc>
        <w:tc>
          <w:tcPr/>
          <w:p>
            <w:pPr>
              <w:pStyle w:val="Compact"/>
              <w:jc w:val="left"/>
            </w:pPr>
            <w:r>
              <w:t xml:space="preserve">4</w:t>
            </w:r>
          </w:p>
        </w:tc>
        <w:tc>
          <w:tcPr/>
          <w:p>
            <w:pPr>
              <w:pStyle w:val="Compact"/>
              <w:jc w:val="left"/>
            </w:pPr>
            <w:r>
              <w:t xml:space="preserve">$15,200.00</w:t>
            </w:r>
          </w:p>
        </w:tc>
      </w:tr>
      <w:tr>
        <w:tc>
          <w:tcPr/>
          <w:p>
            <w:pPr>
              <w:pStyle w:val="Compact"/>
              <w:jc w:val="left"/>
            </w:pPr>
            <w:r>
              <w:t xml:space="preserve">7</w:t>
            </w:r>
          </w:p>
        </w:tc>
        <w:tc>
          <w:tcPr/>
          <w:p>
            <w:pPr>
              <w:pStyle w:val="Compact"/>
              <w:jc w:val="left"/>
            </w:pPr>
            <w:r>
              <w:t xml:space="preserve">Travel, accommodation, and field equipment (Australia Sydney metro area)</w:t>
            </w:r>
          </w:p>
        </w:tc>
        <w:tc>
          <w:tcPr/>
          <w:p>
            <w:pPr>
              <w:pStyle w:val="Compact"/>
              <w:jc w:val="left"/>
            </w:pPr>
            <w:r>
              <w:t xml:space="preserve">Item</w:t>
            </w:r>
          </w:p>
        </w:tc>
        <w:tc>
          <w:tcPr/>
          <w:p>
            <w:pPr>
              <w:pStyle w:val="Compact"/>
              <w:jc w:val="left"/>
            </w:pPr>
            <w:r>
              <w:t xml:space="preserve">$2,350.00</w:t>
            </w:r>
          </w:p>
        </w:tc>
        <w:tc>
          <w:tcPr/>
          <w:p>
            <w:pPr>
              <w:pStyle w:val="Compact"/>
              <w:jc w:val="left"/>
            </w:pPr>
            <w:r>
              <w:t xml:space="preserve">1</w:t>
            </w:r>
          </w:p>
        </w:tc>
        <w:tc>
          <w:tcPr/>
          <w:p>
            <w:pPr>
              <w:pStyle w:val="Compact"/>
              <w:jc w:val="left"/>
            </w:pPr>
            <w:r>
              <w:t xml:space="preserve">$2,350.00</w:t>
            </w:r>
          </w:p>
        </w:tc>
      </w:tr>
      <w:tr>
        <w:tc>
          <w:tcPr/>
          <w:p>
            <w:pPr>
              <w:pStyle w:val="Compact"/>
              <w:jc w:val="left"/>
            </w:pPr>
            <w:r>
              <w:t xml:space="preserve">8</w:t>
            </w:r>
          </w:p>
        </w:tc>
        <w:tc>
          <w:tcPr/>
          <w:p>
            <w:pPr>
              <w:pStyle w:val="Compact"/>
              <w:jc w:val="left"/>
            </w:pPr>
            <w:r>
              <w:t xml:space="preserve">Contingency allowance (10% of items 1–7)</w:t>
            </w:r>
          </w:p>
        </w:tc>
        <w:tc>
          <w:tcPr/>
          <w:p>
            <w:pPr>
              <w:pStyle w:val="Compact"/>
              <w:jc w:val="left"/>
            </w:pPr>
            <w:r>
              <w:t xml:space="preserve">Item</w:t>
            </w:r>
          </w:p>
        </w:tc>
        <w:tc>
          <w:tcPr/>
          <w:p>
            <w:pPr>
              <w:pStyle w:val="Compact"/>
              <w:jc w:val="left"/>
            </w:pPr>
            <w:r>
              <w:t xml:space="preserve">$6,687.00</w:t>
            </w:r>
          </w:p>
        </w:tc>
        <w:tc>
          <w:tcPr/>
          <w:p>
            <w:pPr>
              <w:pStyle w:val="Compact"/>
              <w:jc w:val="left"/>
            </w:pPr>
            <w:r>
              <w:t xml:space="preserve">1</w:t>
            </w:r>
          </w:p>
        </w:tc>
        <w:tc>
          <w:tcPr/>
          <w:p>
            <w:pPr>
              <w:pStyle w:val="Compact"/>
              <w:jc w:val="left"/>
            </w:pPr>
            <w:r>
              <w:t xml:space="preserve">$6,687.00</w:t>
            </w:r>
          </w:p>
        </w:tc>
      </w:tr>
      <w:tr>
        <w:tc>
          <w:tcPr>
            <w:gridSpan w:val="5"/>
          </w:tcPr>
          <w:p>
            <w:pPr>
              <w:pStyle w:val="Compact"/>
              <w:jc w:val="left"/>
            </w:pPr>
            <w:r>
              <w:t xml:space="preserve">Subtotal (excl. GST)</w:t>
            </w:r>
          </w:p>
        </w:tc>
        <w:tc>
          <w:tcPr/>
          <w:p>
            <w:pPr>
              <w:pStyle w:val="Compact"/>
              <w:jc w:val="left"/>
            </w:pPr>
            <w:r>
              <w:t xml:space="preserve">$73,557.00</w:t>
            </w:r>
          </w:p>
        </w:tc>
      </w:tr>
      <w:tr>
        <w:tc>
          <w:tcPr>
            <w:gridSpan w:val="5"/>
          </w:tcPr>
          <w:p>
            <w:pPr>
              <w:pStyle w:val="Compact"/>
              <w:jc w:val="left"/>
            </w:pPr>
            <w:r>
              <w:t xml:space="preserve">GST (10%)</w:t>
            </w:r>
          </w:p>
        </w:tc>
        <w:tc>
          <w:tcPr/>
          <w:p>
            <w:pPr>
              <w:pStyle w:val="Compact"/>
              <w:jc w:val="left"/>
            </w:pPr>
            <w:r>
              <w:t xml:space="preserve">$7,355.70</w:t>
            </w:r>
          </w:p>
        </w:tc>
      </w:tr>
      <w:tr>
        <w:tc>
          <w:tcPr>
            <w:gridSpan w:val="5"/>
          </w:tcPr>
          <w:p>
            <w:pPr>
              <w:pStyle w:val="Compact"/>
              <w:jc w:val="left"/>
            </w:pPr>
            <w:r>
              <w:t xml:space="preserve">TOTAL (incl. GST)</w:t>
            </w:r>
          </w:p>
        </w:tc>
        <w:tc>
          <w:tcPr/>
          <w:p>
            <w:pPr>
              <w:pStyle w:val="Compact"/>
              <w:jc w:val="left"/>
            </w:pPr>
            <w:r>
              <w:t xml:space="preserve">$80,912.70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and availability of the</w:t>
      </w:r>
      <w:r>
        <w:t xml:space="preserve"> </w:t>
      </w:r>
      <w:r>
        <w:t xml:space="preserve">Biologist</w:t>
      </w:r>
      <w:r>
        <w:t xml:space="preserve"> </w:t>
      </w:r>
      <w:r>
        <w:t xml:space="preserve">may be subject to revision.</w:t>
      </w:r>
    </w:p>
    <w:p>
      <w:pPr>
        <w:numPr>
          <w:ilvl w:val="0"/>
          <w:numId w:val="1002"/>
        </w:numPr>
        <w:pStyle w:val="Compact"/>
      </w:pPr>
      <w:r>
        <w:t xml:space="preserve">Payment terms: 50% deposit upon execution of the Statement of Work; 40% upon delivery of the Biodiversity Impact Assessment; 10% upon completion of the final monitoring report.</w:t>
      </w:r>
    </w:p>
    <w:p>
      <w:pPr>
        <w:numPr>
          <w:ilvl w:val="0"/>
          <w:numId w:val="1002"/>
        </w:numPr>
        <w:pStyle w:val="Compact"/>
      </w:pPr>
      <w:r>
        <w:t xml:space="preserve">All invoices are payable within fourteen (14) days of the invoice date. Late payments will attract interest at the rate prescribed under the Australian Consumer Law.</w:t>
      </w:r>
    </w:p>
    <w:p>
      <w:pPr>
        <w:numPr>
          <w:ilvl w:val="0"/>
          <w:numId w:val="1002"/>
        </w:numPr>
        <w:pStyle w:val="Compact"/>
      </w:pPr>
      <w:r>
        <w:t xml:space="preserve">The</w:t>
      </w:r>
      <w:r>
        <w:t xml:space="preserve"> </w:t>
      </w:r>
      <w:r>
        <w:t xml:space="preserve">Biologist</w:t>
      </w:r>
      <w:r>
        <w:t xml:space="preserve"> </w:t>
      </w:r>
      <w:r>
        <w:t xml:space="preserve">and Greenfield Biological Consultancy Pty Ltd shall comply with all applicable Australian and New South Wales environmental legislation, including the Biodiversity Conservation Act 2016 and the Environmental Planning and Assessment Act 1979.</w:t>
      </w:r>
    </w:p>
    <w:p>
      <w:pPr>
        <w:numPr>
          <w:ilvl w:val="0"/>
          <w:numId w:val="1002"/>
        </w:numPr>
        <w:pStyle w:val="Compact"/>
      </w:pPr>
      <w:r>
        <w:t xml:space="preserve">Any variation to the scope of work outlined in this</w:t>
      </w:r>
      <w:r>
        <w:t xml:space="preserve"> </w:t>
      </w:r>
      <w:r>
        <w:t xml:space="preserve">Quotation Estimate</w:t>
      </w:r>
      <w:r>
        <w:t xml:space="preserve"> </w:t>
      </w:r>
      <w:r>
        <w:t xml:space="preserve">must be agreed in writing by both parties prior to commencement of the additional work. A supplementary</w:t>
      </w:r>
      <w:r>
        <w:t xml:space="preserve"> </w:t>
      </w:r>
      <w:r>
        <w:t xml:space="preserve">Quotation Estimate</w:t>
      </w:r>
      <w:r>
        <w:t xml:space="preserve"> </w:t>
      </w:r>
      <w:r>
        <w:t xml:space="preserve">will be issued for any such variation.</w:t>
      </w:r>
    </w:p>
    <w:p>
      <w:pPr>
        <w:numPr>
          <w:ilvl w:val="0"/>
          <w:numId w:val="1002"/>
        </w:numPr>
        <w:pStyle w:val="Compact"/>
      </w:pPr>
      <w:r>
        <w:t xml:space="preserve">All reports, data, and intellectual property produced under this engagement shall become the property of the client upon full payment. The</w:t>
      </w:r>
      <w:r>
        <w:t xml:space="preserve"> </w:t>
      </w:r>
      <w:r>
        <w:t xml:space="preserve">Biologist</w:t>
      </w:r>
      <w:r>
        <w:t xml:space="preserve"> </w:t>
      </w:r>
      <w:r>
        <w:t xml:space="preserve">retains the right to reference the project in professional portfolios with client consent.</w:t>
      </w:r>
    </w:p>
    <w:p>
      <w:pPr>
        <w:numPr>
          <w:ilvl w:val="0"/>
          <w:numId w:val="1002"/>
        </w:numPr>
        <w:pStyle w:val="Compact"/>
      </w:pPr>
      <w:r>
        <w:t xml:space="preserve">This engagement is governed by the laws of the State of New South Wales,</w:t>
      </w:r>
      <w:r>
        <w:t xml:space="preserve"> </w:t>
      </w:r>
      <w:r>
        <w:t xml:space="preserve">Australia</w:t>
      </w:r>
      <w:r>
        <w:t xml:space="preserve">. Any disputes shall be resolved through mediation in</w:t>
      </w:r>
      <w:r>
        <w:t xml:space="preserve"> </w:t>
      </w:r>
      <w:r>
        <w:t xml:space="preserve">Australia Sydney</w:t>
      </w:r>
      <w:r>
        <w:t xml:space="preserve"> </w:t>
      </w:r>
      <w:r>
        <w:t xml:space="preserve">prior to litigation.</w:t>
      </w:r>
    </w:p>
    <w:p>
      <w:pPr>
        <w:numPr>
          <w:ilvl w:val="0"/>
          <w:numId w:val="1002"/>
        </w:numPr>
        <w:pStyle w:val="Compact"/>
      </w:pPr>
      <w:r>
        <w:t xml:space="preserve">Greenfield Biological Consultancy Pty Ltd maintains Professional Indemnity Insurance of no less than $10,000,000 AUD and Public Liability Insurance of $20,000,000 AUD, both valid throughout the duration of the</w:t>
      </w:r>
      <w:r>
        <w:t xml:space="preserve"> </w:t>
      </w:r>
      <w:r>
        <w:t xml:space="preserve">Biologist</w:t>
      </w:r>
      <w:r>
        <w:t xml:space="preserve">'s engagement.</w:t>
      </w:r>
    </w:p>
    <w:bookmarkEnd w:id="24"/>
    <w:bookmarkStart w:id="25" w:name="assumptions-and-exclusions"/>
    <w:p>
      <w:pPr>
        <w:pStyle w:val="Heading2"/>
      </w:pPr>
      <w:r>
        <w:t xml:space="preserve">5. Assumptions and Exclusions</w:t>
      </w:r>
    </w:p>
    <w:p>
      <w:pPr>
        <w:pStyle w:val="FirstParagraph"/>
      </w:pPr>
      <w:r>
        <w:t xml:space="preserve">This</w:t>
      </w:r>
      <w:r>
        <w:t xml:space="preserve"> </w:t>
      </w:r>
      <w:r>
        <w:t xml:space="preserve">Quotation Estimate</w:t>
      </w:r>
      <w:r>
        <w:t xml:space="preserve"> </w:t>
      </w:r>
      <w:r>
        <w:t xml:space="preserve">assumes that the development site is accessible to the</w:t>
      </w:r>
      <w:r>
        <w:t xml:space="preserve"> </w:t>
      </w:r>
      <w:r>
        <w:t xml:space="preserve">Biologist</w:t>
      </w:r>
      <w:r>
        <w:t xml:space="preserve"> </w:t>
      </w:r>
      <w:r>
        <w:t xml:space="preserve">and field team without restriction. It does not include costs associated with any remediation, habitat offset acquisition, or construction-phase ecological supervision beyond the twelve-month monitoring period. Additional species surveys (e.g., microbat acoustic monitoring, herpetofauna pitfall trapping) will be quoted separately upon request. All work will be conducted within the</w:t>
      </w:r>
      <w:r>
        <w:t xml:space="preserve"> </w:t>
      </w:r>
      <w:r>
        <w:t xml:space="preserve">Australia Sydney</w:t>
      </w:r>
      <w:r>
        <w:t xml:space="preserve"> </w:t>
      </w:r>
      <w:r>
        <w:t xml:space="preserve">metropolitan area; travel to regional NSW locations will be charged at an additional rate.</w:t>
      </w:r>
    </w:p>
    <w:bookmarkEnd w:id="25"/>
    <w:bookmarkStart w:id="26" w:name="acceptance"/>
    <w:p>
      <w:pPr>
        <w:pStyle w:val="Heading2"/>
      </w:pPr>
      <w:r>
        <w:t xml:space="preserve">6. Acceptance</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the</w:t>
      </w:r>
      <w:r>
        <w:t xml:space="preserve"> </w:t>
      </w:r>
      <w:r>
        <w:t xml:space="preserve">Biologist</w:t>
      </w:r>
      <w:r>
        <w:t xml:space="preserve"> </w:t>
      </w:r>
      <w:r>
        <w:t xml:space="preserve">and associated ecological services as described herein. This acceptance constitutes a binding agreement between the parties for the scope of work and fees outlined in this document.</w:t>
      </w:r>
    </w:p>
    <w:p>
      <w:pPr>
        <w:pStyle w:val="BodyText"/>
      </w:pPr>
      <w:r>
        <w:rPr>
          <w:bCs/>
          <w:b/>
        </w:rPr>
        <w:t xml:space="preserve">For and on behalf of Greenfield Biological Consultancy Pty Ltd</w:t>
      </w:r>
    </w:p>
    <w:p>
      <w:pPr>
        <w:pStyle w:val="BodyText"/>
      </w:pPr>
      <w:r>
        <w:t xml:space="preserve">Name: Dr. Eleanor Whitfield, AIB (Senior Biologist)</w:t>
      </w:r>
      <w:r>
        <w:br/>
      </w:r>
      <w:r>
        <w:t xml:space="preserve">Signature: _________________________</w:t>
      </w:r>
      <w:r>
        <w:br/>
      </w:r>
      <w:r>
        <w:t xml:space="preserve">Date: _________________________</w:t>
      </w:r>
    </w:p>
    <w:p>
      <w:pPr>
        <w:pStyle w:val="BodyText"/>
      </w:pPr>
      <w:r>
        <w:rPr>
          <w:bCs/>
          <w:b/>
        </w:rPr>
        <w:t xml:space="preserve">For and on behalf of Harbourview Development Group Ltd</w:t>
      </w:r>
    </w:p>
    <w:p>
      <w:pPr>
        <w:pStyle w:val="BodyText"/>
      </w:pPr>
      <w:r>
        <w:t xml:space="preserve">Name: _________________________</w:t>
      </w:r>
      <w:r>
        <w:br/>
      </w:r>
      <w:r>
        <w:t xml:space="preserve">Signature: _________________________</w:t>
      </w:r>
      <w:r>
        <w:br/>
      </w:r>
      <w:r>
        <w:t xml:space="preserve">Date: _________________________</w:t>
      </w:r>
    </w:p>
    <w:p>
      <w:pPr>
        <w:pStyle w:val="BodyText"/>
      </w:pPr>
      <w:r>
        <w:t xml:space="preserve">Greenfield Biological Consultancy Pty Ltd | ABN 48 215 673 901 | Sydney, NSW, Australia</w:t>
      </w:r>
    </w:p>
    <w:p>
      <w:pPr>
        <w:pStyle w:val="BodyText"/>
      </w:pPr>
      <w:r>
        <w:t xml:space="preserve">This Quotation Estimate is confidential and intended solely for the named recipient. Unauthorised distribution is prohibited.</w:t>
      </w:r>
    </w:p>
    <w:p>
      <w:pPr>
        <w:pStyle w:val="BodyText"/>
      </w:pPr>
      <w:r>
        <w:t xml:space="preserve">Document Reference: QTE-2025-0487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Australia Sydney</dc:title>
  <dc:creator/>
  <dc:language>en</dc:language>
  <cp:keywords/>
  <dcterms:created xsi:type="dcterms:W3CDTF">2026-10-10T02:12:23Z</dcterms:created>
  <dcterms:modified xsi:type="dcterms:W3CDTF">2026-10-10T02:12:23Z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