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Biomedical Engineer Services</w:t>
      </w:r>
    </w:p>
    <w:p>
      <w:pPr>
        <w:pStyle w:val="BodyText"/>
      </w:pPr>
      <w:r>
        <w:t xml:space="preserve">Guangzhou, Guangdong Province, China</w:t>
      </w:r>
    </w:p>
    <w:p>
      <w:pPr>
        <w:pStyle w:val="BodyText"/>
      </w:pPr>
      <w:r>
        <w:t xml:space="preserve">Document Reference: QE-BME-GZ-2025-0047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QE-BME-GZ-2025-0047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Dr. Wei Zhang, Senior Biomedical Engineer</w:t>
            </w:r>
          </w:p>
        </w:tc>
        <w:tc>
          <w:tcPr/>
          <w:p>
            <w:pPr>
              <w:pStyle w:val="Compact"/>
              <w:jc w:val="left"/>
            </w:pPr>
            <w:r>
              <w:t xml:space="preserve">Location</w:t>
            </w:r>
          </w:p>
        </w:tc>
        <w:tc>
          <w:tcPr/>
          <w:p>
            <w:pPr>
              <w:pStyle w:val="Compact"/>
              <w:jc w:val="left"/>
            </w:pPr>
            <w:r>
              <w:t xml:space="preserve">Tianhe District, Guangzhou, China</w:t>
            </w:r>
          </w:p>
        </w:tc>
      </w:tr>
      <w:tr>
        <w:tc>
          <w:tcPr/>
          <w:p>
            <w:pPr>
              <w:pStyle w:val="Compact"/>
              <w:jc w:val="left"/>
            </w:pPr>
            <w:r>
              <w:t xml:space="preserve">Client / Recipient</w:t>
            </w:r>
          </w:p>
        </w:tc>
        <w:tc>
          <w:tcPr/>
          <w:p>
            <w:pPr>
              <w:pStyle w:val="Compact"/>
              <w:jc w:val="left"/>
            </w:pPr>
            <w:r>
              <w:t xml:space="preserve">Guangzhou Provincial Medical Equipment Administration</w:t>
            </w:r>
          </w:p>
        </w:tc>
        <w:tc>
          <w:tcPr/>
          <w:p>
            <w:pPr>
              <w:pStyle w:val="Compact"/>
              <w:jc w:val="left"/>
            </w:pPr>
            <w:r>
              <w:t xml:space="preserve">Contact</w:t>
            </w:r>
          </w:p>
        </w:tc>
        <w:tc>
          <w:tcPr/>
          <w:p>
            <w:pPr>
              <w:pStyle w:val="Compact"/>
              <w:jc w:val="left"/>
            </w:pPr>
            <w:r>
              <w:t xml:space="preserve">procurement@gzmedadmin.gov.cn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resource allocations, and associated costs for the engagement of a qualified</w:t>
      </w:r>
      <w:r>
        <w:t xml:space="preserve"> </w:t>
      </w:r>
      <w:r>
        <w:t xml:space="preserve">Biomedical Engineer</w:t>
      </w:r>
      <w:r>
        <w:t xml:space="preserve"> </w:t>
      </w:r>
      <w:r>
        <w:t xml:space="preserve">to deliver specialized technical services within the</w:t>
      </w:r>
      <w:r>
        <w:t xml:space="preserve"> </w:t>
      </w:r>
      <w:r>
        <w:t xml:space="preserve">China Guangzhou</w:t>
      </w:r>
      <w:r>
        <w:t xml:space="preserve"> </w:t>
      </w:r>
      <w:r>
        <w:t xml:space="preserve">metropolitan region. The scope of work outlined herein encompasses the full lifecycle of biomedical equipment management, regulatory compliance auditing, and clinical engineering support as required by the client organization operating under the jurisdiction of Guangzhou Municipal Health Commission.</w:t>
      </w:r>
    </w:p>
    <w:p>
      <w:pPr>
        <w:pStyle w:val="BodyText"/>
      </w:pPr>
      <w:r>
        <w:t xml:space="preserve">The</w:t>
      </w:r>
      <w:r>
        <w:t xml:space="preserve"> </w:t>
      </w:r>
      <w:r>
        <w:t xml:space="preserve">Biomedical Engineer</w:t>
      </w:r>
      <w:r>
        <w:t xml:space="preserve"> </w:t>
      </w:r>
      <w:r>
        <w:t xml:space="preserve">referenced in this document holds a Master's degree in Biomedical Engineering from Sun Yat-sen University, Guangzhou, and possesses over twelve years of hands-on experience in hospital-grade medical device maintenance, calibration, and safety verification. All services described in this</w:t>
      </w:r>
      <w:r>
        <w:t xml:space="preserve"> </w:t>
      </w:r>
      <w:r>
        <w:t xml:space="preserve">Quotation Estimate</w:t>
      </w:r>
      <w:r>
        <w:t xml:space="preserve"> </w:t>
      </w:r>
      <w:r>
        <w:t xml:space="preserve">are to be performed in strict accordance with the National Medical Products Administration (NMPA) regulations applicable in</w:t>
      </w:r>
      <w:r>
        <w:t xml:space="preserve"> </w:t>
      </w:r>
      <w:r>
        <w:t xml:space="preserve">China Guangzhou</w:t>
      </w:r>
      <w:r>
        <w:t xml:space="preserve"> </w:t>
      </w:r>
      <w:r>
        <w:t xml:space="preserve">and the broader Guangdong Province.</w:t>
      </w:r>
    </w:p>
    <w:bookmarkEnd w:id="21"/>
    <w:bookmarkStart w:id="22" w:name="detailed-scope-of-services"/>
    <w:p>
      <w:pPr>
        <w:pStyle w:val="Heading2"/>
      </w:pPr>
      <w:r>
        <w:t xml:space="preserve">2. Detailed Scope of Services</w:t>
      </w:r>
    </w:p>
    <w:p>
      <w:pPr>
        <w:numPr>
          <w:ilvl w:val="0"/>
          <w:numId w:val="1001"/>
        </w:numPr>
        <w:pStyle w:val="Compact"/>
      </w:pPr>
      <w:r>
        <w:rPr>
          <w:bCs/>
          <w:b/>
        </w:rPr>
        <w:t xml:space="preserve">Medical Equipment Installation &amp; Commissioning:</w:t>
      </w:r>
      <w:r>
        <w:t xml:space="preserve"> </w:t>
      </w:r>
      <w:r>
        <w:t xml:space="preserve">Full installation, alignment, and initial performance verification of diagnostic imaging systems (CT, MRI, X-ray), patient monitoring devices, and surgical instrumentation at the designated facility in Guangzhou. The</w:t>
      </w:r>
      <w:r>
        <w:t xml:space="preserve"> </w:t>
      </w:r>
      <w:r>
        <w:t xml:space="preserve">Biomedical Engineer</w:t>
      </w:r>
      <w:r>
        <w:t xml:space="preserve"> </w:t>
      </w:r>
      <w:r>
        <w:t xml:space="preserve">shall ensure all equipment meets NMPA Class II and Class III device registration requirements before clinical deployment.</w:t>
      </w:r>
    </w:p>
    <w:p>
      <w:pPr>
        <w:numPr>
          <w:ilvl w:val="0"/>
          <w:numId w:val="1001"/>
        </w:numPr>
        <w:pStyle w:val="Compact"/>
      </w:pPr>
      <w:r>
        <w:rPr>
          <w:bCs/>
          <w:b/>
        </w:rPr>
        <w:t xml:space="preserve">Preventive Maintenance Program Design:</w:t>
      </w:r>
      <w:r>
        <w:t xml:space="preserve"> </w:t>
      </w:r>
      <w:r>
        <w:t xml:space="preserve">Development and implementation of a structured preventive maintenance schedule for a fleet of 350+ medical devices. This includes quarterly inspections, annual calibration, and firmware updates. The</w:t>
      </w:r>
      <w:r>
        <w:t xml:space="preserve"> </w:t>
      </w:r>
      <w:r>
        <w:t xml:space="preserve">Quotation Estimate</w:t>
      </w:r>
      <w:r>
        <w:t xml:space="preserve"> </w:t>
      </w:r>
      <w:r>
        <w:t xml:space="preserve">covers the design phase, documentation, and the first two full maintenance cycles.</w:t>
      </w:r>
    </w:p>
    <w:p>
      <w:pPr>
        <w:numPr>
          <w:ilvl w:val="0"/>
          <w:numId w:val="1001"/>
        </w:numPr>
        <w:pStyle w:val="Compact"/>
      </w:pPr>
      <w:r>
        <w:rPr>
          <w:bCs/>
          <w:b/>
        </w:rPr>
        <w:t xml:space="preserve">Regulatory Compliance &amp; Auditing:</w:t>
      </w:r>
      <w:r>
        <w:t xml:space="preserve"> </w:t>
      </w:r>
      <w:r>
        <w:t xml:space="preserve">Conducting bi-annual compliance audits of all biomedical equipment against GB 9706.1 (IEC 60601-1) electrical safety standards and electromagnetic compatibility requirements. The</w:t>
      </w:r>
      <w:r>
        <w:t xml:space="preserve"> </w:t>
      </w:r>
      <w:r>
        <w:t xml:space="preserve">Biomedical Engineer</w:t>
      </w:r>
      <w:r>
        <w:t xml:space="preserve"> </w:t>
      </w:r>
      <w:r>
        <w:t xml:space="preserve">will prepare detailed audit reports in both Chinese and English for submission to the Guangzhou Municipal Drug Administration.</w:t>
      </w:r>
    </w:p>
    <w:p>
      <w:pPr>
        <w:numPr>
          <w:ilvl w:val="0"/>
          <w:numId w:val="1001"/>
        </w:numPr>
        <w:pStyle w:val="Compact"/>
      </w:pPr>
      <w:r>
        <w:rPr>
          <w:bCs/>
          <w:b/>
        </w:rPr>
        <w:t xml:space="preserve">Clinical Engineering Training:</w:t>
      </w:r>
      <w:r>
        <w:t xml:space="preserve"> </w:t>
      </w:r>
      <w:r>
        <w:t xml:space="preserve">Delivery of four (4) on-site training sessions (8 hours each) for hospital biomedical technicians in Guangzhou, covering device troubleshooting, safety interlock verification, and incident reporting protocols.</w:t>
      </w:r>
    </w:p>
    <w:p>
      <w:pPr>
        <w:numPr>
          <w:ilvl w:val="0"/>
          <w:numId w:val="1001"/>
        </w:numPr>
        <w:pStyle w:val="Compact"/>
      </w:pPr>
      <w:r>
        <w:rPr>
          <w:bCs/>
          <w:b/>
        </w:rPr>
        <w:t xml:space="preserve">Emergency Response &amp; Breakdown Support:</w:t>
      </w:r>
      <w:r>
        <w:t xml:space="preserve"> </w:t>
      </w:r>
      <w:r>
        <w:t xml:space="preserve">Provision of a 24/7 on-call response mechanism for critical equipment failures. The</w:t>
      </w:r>
      <w:r>
        <w:t xml:space="preserve"> </w:t>
      </w:r>
      <w:r>
        <w:t xml:space="preserve">Biomedical Engineer</w:t>
      </w:r>
      <w:r>
        <w:t xml:space="preserve"> </w:t>
      </w:r>
      <w:r>
        <w:t xml:space="preserve">guarantees a maximum response time of 4 hours for life-support systems and 24 hours for non-critical devices within the Guangzhou urban area.</w:t>
      </w:r>
    </w:p>
    <w:p>
      <w:pPr>
        <w:numPr>
          <w:ilvl w:val="0"/>
          <w:numId w:val="1001"/>
        </w:numPr>
        <w:pStyle w:val="Compact"/>
      </w:pPr>
      <w:r>
        <w:rPr>
          <w:bCs/>
          <w:b/>
        </w:rPr>
        <w:t xml:space="preserve">Technology Assessment &amp; Procurement Advisory:</w:t>
      </w:r>
      <w:r>
        <w:t xml:space="preserve"> </w:t>
      </w:r>
      <w:r>
        <w:t xml:space="preserve">Preparation of technical evaluation reports for the procurement of new biomedical equipment, including cost-benefit analysis, vendor comparison, and lifecycle cost projections. This advisory service supports the client's annual capital expenditure planning in</w:t>
      </w:r>
      <w:r>
        <w:t xml:space="preserve"> </w:t>
      </w:r>
      <w:r>
        <w:t xml:space="preserve">China Guangzhou</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Biomedical Engineer – Professional Consultancy Fee (Installation &amp; Commissioning)</w:t>
            </w:r>
          </w:p>
        </w:tc>
        <w:tc>
          <w:tcPr/>
          <w:p>
            <w:pPr>
              <w:pStyle w:val="Compact"/>
              <w:jc w:val="left"/>
            </w:pPr>
            <w:r>
              <w:t xml:space="preserve">60 working days</w:t>
            </w:r>
          </w:p>
        </w:tc>
        <w:tc>
          <w:tcPr/>
          <w:p>
            <w:pPr>
              <w:pStyle w:val="Compact"/>
              <w:jc w:val="left"/>
            </w:pPr>
            <w:r>
              <w:t xml:space="preserve">¥ 1,850</w:t>
            </w:r>
          </w:p>
        </w:tc>
        <w:tc>
          <w:tcPr/>
          <w:p>
            <w:pPr>
              <w:pStyle w:val="Compact"/>
              <w:jc w:val="left"/>
            </w:pPr>
            <w:r>
              <w:t xml:space="preserve">¥ 111,000</w:t>
            </w:r>
          </w:p>
        </w:tc>
      </w:tr>
      <w:tr>
        <w:tc>
          <w:tcPr/>
          <w:p>
            <w:pPr>
              <w:pStyle w:val="Compact"/>
              <w:jc w:val="left"/>
            </w:pPr>
            <w:r>
              <w:t xml:space="preserve">02</w:t>
            </w:r>
          </w:p>
        </w:tc>
        <w:tc>
          <w:tcPr/>
          <w:p>
            <w:pPr>
              <w:pStyle w:val="Compact"/>
              <w:jc w:val="left"/>
            </w:pPr>
            <w:r>
              <w:t xml:space="preserve">Preventive Maintenance Program – Design &amp; First 2 Cycles</w:t>
            </w:r>
          </w:p>
        </w:tc>
        <w:tc>
          <w:tcPr/>
          <w:p>
            <w:pPr>
              <w:pStyle w:val="Compact"/>
              <w:jc w:val="left"/>
            </w:pPr>
            <w:r>
              <w:t xml:space="preserve">12 months</w:t>
            </w:r>
          </w:p>
        </w:tc>
        <w:tc>
          <w:tcPr/>
          <w:p>
            <w:pPr>
              <w:pStyle w:val="Compact"/>
              <w:jc w:val="left"/>
            </w:pPr>
            <w:r>
              <w:t xml:space="preserve">¥ 42,000</w:t>
            </w:r>
          </w:p>
        </w:tc>
        <w:tc>
          <w:tcPr/>
          <w:p>
            <w:pPr>
              <w:pStyle w:val="Compact"/>
              <w:jc w:val="left"/>
            </w:pPr>
            <w:r>
              <w:t xml:space="preserve">¥ 84,000</w:t>
            </w:r>
          </w:p>
        </w:tc>
      </w:tr>
      <w:tr>
        <w:tc>
          <w:tcPr/>
          <w:p>
            <w:pPr>
              <w:pStyle w:val="Compact"/>
              <w:jc w:val="left"/>
            </w:pPr>
            <w:r>
              <w:t xml:space="preserve">03</w:t>
            </w:r>
          </w:p>
        </w:tc>
        <w:tc>
          <w:tcPr/>
          <w:p>
            <w:pPr>
              <w:pStyle w:val="Compact"/>
              <w:jc w:val="left"/>
            </w:pPr>
            <w:r>
              <w:t xml:space="preserve">Regulatory Compliance Auditing (2 cycles)</w:t>
            </w:r>
          </w:p>
        </w:tc>
        <w:tc>
          <w:tcPr/>
          <w:p>
            <w:pPr>
              <w:pStyle w:val="Compact"/>
              <w:jc w:val="left"/>
            </w:pPr>
            <w:r>
              <w:t xml:space="preserve">2 audits</w:t>
            </w:r>
          </w:p>
        </w:tc>
        <w:tc>
          <w:tcPr/>
          <w:p>
            <w:pPr>
              <w:pStyle w:val="Compact"/>
              <w:jc w:val="left"/>
            </w:pPr>
            <w:r>
              <w:t xml:space="preserve">¥ 18,500</w:t>
            </w:r>
          </w:p>
        </w:tc>
        <w:tc>
          <w:tcPr/>
          <w:p>
            <w:pPr>
              <w:pStyle w:val="Compact"/>
              <w:jc w:val="left"/>
            </w:pPr>
            <w:r>
              <w:t xml:space="preserve">¥ 37,000</w:t>
            </w:r>
          </w:p>
        </w:tc>
      </w:tr>
      <w:tr>
        <w:tc>
          <w:tcPr/>
          <w:p>
            <w:pPr>
              <w:pStyle w:val="Compact"/>
              <w:jc w:val="left"/>
            </w:pPr>
            <w:r>
              <w:t xml:space="preserve">04</w:t>
            </w:r>
          </w:p>
        </w:tc>
        <w:tc>
          <w:tcPr/>
          <w:p>
            <w:pPr>
              <w:pStyle w:val="Compact"/>
              <w:jc w:val="left"/>
            </w:pPr>
            <w:r>
              <w:t xml:space="preserve">Clinical Engineering Training (4 sessions × 8 hrs)</w:t>
            </w:r>
          </w:p>
        </w:tc>
        <w:tc>
          <w:tcPr/>
          <w:p>
            <w:pPr>
              <w:pStyle w:val="Compact"/>
              <w:jc w:val="left"/>
            </w:pPr>
            <w:r>
              <w:t xml:space="preserve">32 hours</w:t>
            </w:r>
          </w:p>
        </w:tc>
        <w:tc>
          <w:tcPr/>
          <w:p>
            <w:pPr>
              <w:pStyle w:val="Compact"/>
              <w:jc w:val="left"/>
            </w:pPr>
            <w:r>
              <w:t xml:space="preserve">¥ 1,200</w:t>
            </w:r>
          </w:p>
        </w:tc>
        <w:tc>
          <w:tcPr/>
          <w:p>
            <w:pPr>
              <w:pStyle w:val="Compact"/>
              <w:jc w:val="left"/>
            </w:pPr>
            <w:r>
              <w:t xml:space="preserve">¥ 38,400</w:t>
            </w:r>
          </w:p>
        </w:tc>
      </w:tr>
      <w:tr>
        <w:tc>
          <w:tcPr/>
          <w:p>
            <w:pPr>
              <w:pStyle w:val="Compact"/>
              <w:jc w:val="left"/>
            </w:pPr>
            <w:r>
              <w:t xml:space="preserve">05</w:t>
            </w:r>
          </w:p>
        </w:tc>
        <w:tc>
          <w:tcPr/>
          <w:p>
            <w:pPr>
              <w:pStyle w:val="Compact"/>
              <w:jc w:val="left"/>
            </w:pPr>
            <w:r>
              <w:t xml:space="preserve">24/7 Emergency Response &amp; Breakdown Support</w:t>
            </w:r>
          </w:p>
        </w:tc>
        <w:tc>
          <w:tcPr/>
          <w:p>
            <w:pPr>
              <w:pStyle w:val="Compact"/>
              <w:jc w:val="left"/>
            </w:pPr>
            <w:r>
              <w:t xml:space="preserve">12 months</w:t>
            </w:r>
          </w:p>
        </w:tc>
        <w:tc>
          <w:tcPr/>
          <w:p>
            <w:pPr>
              <w:pStyle w:val="Compact"/>
              <w:jc w:val="left"/>
            </w:pPr>
            <w:r>
              <w:t xml:space="preserve">¥ 25,000</w:t>
            </w:r>
          </w:p>
        </w:tc>
        <w:tc>
          <w:tcPr/>
          <w:p>
            <w:pPr>
              <w:pStyle w:val="Compact"/>
              <w:jc w:val="left"/>
            </w:pPr>
            <w:r>
              <w:t xml:space="preserve">¥ 25,000</w:t>
            </w:r>
          </w:p>
        </w:tc>
      </w:tr>
      <w:tr>
        <w:tc>
          <w:tcPr/>
          <w:p>
            <w:pPr>
              <w:pStyle w:val="Compact"/>
              <w:jc w:val="left"/>
            </w:pPr>
            <w:r>
              <w:t xml:space="preserve">06</w:t>
            </w:r>
          </w:p>
        </w:tc>
        <w:tc>
          <w:tcPr/>
          <w:p>
            <w:pPr>
              <w:pStyle w:val="Compact"/>
              <w:jc w:val="left"/>
            </w:pPr>
            <w:r>
              <w:t xml:space="preserve">Technology Assessment &amp; Procurement Advisory Reports</w:t>
            </w:r>
          </w:p>
        </w:tc>
        <w:tc>
          <w:tcPr/>
          <w:p>
            <w:pPr>
              <w:pStyle w:val="Compact"/>
              <w:jc w:val="left"/>
            </w:pPr>
            <w:r>
              <w:t xml:space="preserve">6 reports</w:t>
            </w:r>
          </w:p>
        </w:tc>
        <w:tc>
          <w:tcPr/>
          <w:p>
            <w:pPr>
              <w:pStyle w:val="Compact"/>
              <w:jc w:val="left"/>
            </w:pPr>
            <w:r>
              <w:t xml:space="preserve">¥ 9,800</w:t>
            </w:r>
          </w:p>
        </w:tc>
        <w:tc>
          <w:tcPr/>
          <w:p>
            <w:pPr>
              <w:pStyle w:val="Compact"/>
              <w:jc w:val="left"/>
            </w:pPr>
            <w:r>
              <w:t xml:space="preserve">¥ 58,800</w:t>
            </w:r>
          </w:p>
        </w:tc>
      </w:tr>
      <w:tr>
        <w:tc>
          <w:tcPr/>
          <w:p>
            <w:pPr>
              <w:pStyle w:val="Compact"/>
              <w:jc w:val="left"/>
            </w:pPr>
            <w:r>
              <w:t xml:space="preserve">07</w:t>
            </w:r>
          </w:p>
        </w:tc>
        <w:tc>
          <w:tcPr/>
          <w:p>
            <w:pPr>
              <w:pStyle w:val="Compact"/>
              <w:jc w:val="left"/>
            </w:pPr>
            <w:r>
              <w:t xml:space="preserve">Travel, Accommodation &amp; Local Logistics within Guangzhou</w:t>
            </w:r>
          </w:p>
        </w:tc>
        <w:tc>
          <w:tcPr/>
          <w:p>
            <w:pPr>
              <w:pStyle w:val="Compact"/>
              <w:jc w:val="left"/>
            </w:pPr>
            <w:r>
              <w:t xml:space="preserve">12 months</w:t>
            </w:r>
          </w:p>
        </w:tc>
        <w:tc>
          <w:tcPr/>
          <w:p>
            <w:pPr>
              <w:pStyle w:val="Compact"/>
              <w:jc w:val="left"/>
            </w:pPr>
            <w:r>
              <w:t xml:space="preserve">¥ 6,500</w:t>
            </w:r>
          </w:p>
        </w:tc>
        <w:tc>
          <w:tcPr/>
          <w:p>
            <w:pPr>
              <w:pStyle w:val="Compact"/>
              <w:jc w:val="left"/>
            </w:pPr>
            <w:r>
              <w:t xml:space="preserve">¥ 78,000</w:t>
            </w:r>
          </w:p>
        </w:tc>
      </w:tr>
      <w:tr>
        <w:tc>
          <w:tcPr/>
          <w:p>
            <w:pPr>
              <w:pStyle w:val="Compact"/>
              <w:jc w:val="left"/>
            </w:pPr>
            <w:r>
              <w:t xml:space="preserve">08</w:t>
            </w:r>
          </w:p>
        </w:tc>
        <w:tc>
          <w:tcPr/>
          <w:p>
            <w:pPr>
              <w:pStyle w:val="Compact"/>
              <w:jc w:val="left"/>
            </w:pPr>
            <w:r>
              <w:t xml:space="preserve">Specialized Calibration Instruments &amp; Consumables</w:t>
            </w:r>
          </w:p>
        </w:tc>
        <w:tc>
          <w:tcPr/>
          <w:p>
            <w:pPr>
              <w:pStyle w:val="Compact"/>
              <w:jc w:val="left"/>
            </w:pPr>
            <w:r>
              <w:t xml:space="preserve">As required</w:t>
            </w:r>
          </w:p>
        </w:tc>
        <w:tc>
          <w:tcPr/>
          <w:p>
            <w:pPr>
              <w:pStyle w:val="Compact"/>
              <w:jc w:val="left"/>
            </w:pPr>
            <w:r>
              <w:t xml:space="preserve">¥ 15,000</w:t>
            </w:r>
          </w:p>
        </w:tc>
        <w:tc>
          <w:tcPr/>
          <w:p>
            <w:pPr>
              <w:pStyle w:val="Compact"/>
              <w:jc w:val="left"/>
            </w:pPr>
            <w:r>
              <w:t xml:space="preserve">¥ 15,000</w:t>
            </w:r>
          </w:p>
        </w:tc>
      </w:tr>
      <w:tr>
        <w:tc>
          <w:tcPr>
            <w:gridSpan w:val="4"/>
          </w:tcPr>
          <w:p>
            <w:pPr>
              <w:pStyle w:val="Compact"/>
              <w:jc w:val="right"/>
            </w:pPr>
            <w:r>
              <w:t xml:space="preserve">Subtotal (CNY)</w:t>
            </w:r>
          </w:p>
        </w:tc>
        <w:tc>
          <w:tcPr/>
          <w:p>
            <w:pPr>
              <w:pStyle w:val="Compact"/>
              <w:jc w:val="left"/>
            </w:pPr>
            <w:r>
              <w:t xml:space="preserve">¥ 547,200</w:t>
            </w:r>
          </w:p>
        </w:tc>
      </w:tr>
      <w:tr>
        <w:tc>
          <w:tcPr>
            <w:gridSpan w:val="4"/>
          </w:tcPr>
          <w:p>
            <w:pPr>
              <w:pStyle w:val="Compact"/>
              <w:jc w:val="right"/>
            </w:pPr>
            <w:r>
              <w:t xml:space="preserve">VAT (13% – Applicable in China Guangzhou)</w:t>
            </w:r>
          </w:p>
        </w:tc>
        <w:tc>
          <w:tcPr/>
          <w:p>
            <w:pPr>
              <w:pStyle w:val="Compact"/>
              <w:jc w:val="left"/>
            </w:pPr>
            <w:r>
              <w:t xml:space="preserve">¥ 71,136</w:t>
            </w:r>
          </w:p>
        </w:tc>
      </w:tr>
      <w:tr>
        <w:tc>
          <w:tcPr>
            <w:gridSpan w:val="4"/>
          </w:tcPr>
          <w:p>
            <w:pPr>
              <w:pStyle w:val="Compact"/>
              <w:jc w:val="right"/>
            </w:pPr>
            <w:r>
              <w:t xml:space="preserve">GRAND TOTAL (CNY)</w:t>
            </w:r>
          </w:p>
        </w:tc>
        <w:tc>
          <w:tcPr/>
          <w:p>
            <w:pPr>
              <w:pStyle w:val="Compact"/>
              <w:jc w:val="left"/>
            </w:pPr>
            <w:r>
              <w:t xml:space="preserve">¥ 618,336</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A mobilization advance of 30% (¥ 185,500.80) of the Grand Total shall be remitted within ten (10) business days of mutual acceptance of this</w:t>
      </w:r>
      <w:r>
        <w:t xml:space="preserve"> </w:t>
      </w:r>
      <w:r>
        <w:t xml:space="preserve">Quotation Estimate</w:t>
      </w:r>
      <w:r>
        <w:t xml:space="preserve">.</w:t>
      </w:r>
    </w:p>
    <w:p>
      <w:pPr>
        <w:pStyle w:val="BodyText"/>
      </w:pPr>
      <w:r>
        <w:rPr>
          <w:bCs/>
          <w:b/>
        </w:rPr>
        <w:t xml:space="preserve">4.2</w:t>
      </w:r>
      <w:r>
        <w:t xml:space="preserve"> </w:t>
      </w:r>
      <w:r>
        <w:t xml:space="preserve">– A progress payment of 40% (¥ 247,334.40) shall be due upon completion of the installation, commissioning, and first preventive maintenance cycle, subject to written acceptance by the client's designated project manager in Guangzhou.</w:t>
      </w:r>
    </w:p>
    <w:p>
      <w:pPr>
        <w:pStyle w:val="BodyText"/>
      </w:pPr>
      <w:r>
        <w:rPr>
          <w:bCs/>
          <w:b/>
        </w:rPr>
        <w:t xml:space="preserve">4.3</w:t>
      </w:r>
      <w:r>
        <w:t xml:space="preserve"> </w:t>
      </w:r>
      <w:r>
        <w:t xml:space="preserve">– The remaining balance of 30% (¥ 185,500.80) shall be payable within fifteen (15) business days following the successful completion of all deliverables, including the final compliance audit report and training certification documents.</w:t>
      </w:r>
    </w:p>
    <w:p>
      <w:pPr>
        <w:pStyle w:val="BodyText"/>
      </w:pPr>
      <w:r>
        <w:rPr>
          <w:bCs/>
          <w:b/>
        </w:rPr>
        <w:t xml:space="preserve">4.4</w:t>
      </w:r>
      <w:r>
        <w:t xml:space="preserve"> </w:t>
      </w:r>
      <w:r>
        <w:t xml:space="preserve">– All payments shall be made via bank transfer to the account designated by the</w:t>
      </w:r>
      <w:r>
        <w:t xml:space="preserve"> </w:t>
      </w:r>
      <w:r>
        <w:t xml:space="preserve">Biomedical Engineer</w:t>
      </w:r>
      <w:r>
        <w:t xml:space="preserve">'s registered entity in Guangzhou, Guangdong Province. Late payments shall accrue interest at 0.05% per calendar day as stipulated under Chinese commercial contract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China Guangzhou</w:t>
      </w:r>
      <w:r>
        <w:t xml:space="preserve">.</w:t>
      </w:r>
    </w:p>
    <w:p>
      <w:pPr>
        <w:pStyle w:val="BodyText"/>
      </w:pPr>
      <w:r>
        <w:rPr>
          <w:bCs/>
          <w:b/>
        </w:rPr>
        <w:t xml:space="preserve">5.2</w:t>
      </w:r>
      <w:r>
        <w:t xml:space="preserve"> </w:t>
      </w:r>
      <w:r>
        <w:t xml:space="preserve">– The</w:t>
      </w:r>
      <w:r>
        <w:t xml:space="preserve"> </w:t>
      </w:r>
      <w:r>
        <w:t xml:space="preserve">Biomedical Engineer</w:t>
      </w:r>
      <w:r>
        <w:t xml:space="preserve"> </w:t>
      </w:r>
      <w:r>
        <w:t xml:space="preserve">shall maintain valid professional registration with the Chinese Medical Equipment Industry Association and carry professional liability insurance with a minimum coverage of ¥ 5,000,000 for the duration of the engagement.</w:t>
      </w:r>
    </w:p>
    <w:p>
      <w:pPr>
        <w:pStyle w:val="BodyText"/>
      </w:pPr>
      <w:r>
        <w:rPr>
          <w:bCs/>
          <w:b/>
        </w:rPr>
        <w:t xml:space="preserve">5.3</w:t>
      </w:r>
      <w:r>
        <w:t xml:space="preserve"> </w:t>
      </w:r>
      <w:r>
        <w:t xml:space="preserve">– All work products, reports, and documentation generated under this engagement shall be the intellectual property of the client, unless otherwise agreed in writing.</w:t>
      </w:r>
    </w:p>
    <w:p>
      <w:pPr>
        <w:pStyle w:val="BodyText"/>
      </w:pPr>
      <w:r>
        <w:rPr>
          <w:bCs/>
          <w:b/>
        </w:rPr>
        <w:t xml:space="preserve">5.4</w:t>
      </w:r>
      <w:r>
        <w:t xml:space="preserve"> </w:t>
      </w:r>
      <w:r>
        <w:t xml:space="preserve">– The</w:t>
      </w:r>
      <w:r>
        <w:t xml:space="preserve"> </w:t>
      </w:r>
      <w:r>
        <w:t xml:space="preserve">Biomedical Engineer</w:t>
      </w:r>
      <w:r>
        <w:t xml:space="preserve"> </w:t>
      </w:r>
      <w:r>
        <w:t xml:space="preserve">reserves the right to subcontract non-critical calibration tasks to certified third-party laboratories within Guangzhou, provided prior written consent is obtained from the client.</w:t>
      </w:r>
    </w:p>
    <w:p>
      <w:pPr>
        <w:pStyle w:val="BodyText"/>
      </w:pPr>
      <w:r>
        <w:rPr>
          <w:bCs/>
          <w:b/>
        </w:rPr>
        <w:t xml:space="preserve">5.5</w:t>
      </w:r>
      <w:r>
        <w:t xml:space="preserve"> </w:t>
      </w:r>
      <w:r>
        <w:t xml:space="preserve">– Disputes arising from this</w:t>
      </w:r>
      <w:r>
        <w:t xml:space="preserve"> </w:t>
      </w:r>
      <w:r>
        <w:t xml:space="preserve">Quotation Estimate</w:t>
      </w:r>
      <w:r>
        <w:t xml:space="preserve"> </w:t>
      </w:r>
      <w:r>
        <w:t xml:space="preserve">shall be resolved through arbitration at the Guangzhou Arbitration Commission in accordance with its then-current rules. The governing law shall be the Civil Code of the People's Republic of China.</w:t>
      </w:r>
    </w:p>
    <w:p>
      <w:pPr>
        <w:pStyle w:val="BodyText"/>
      </w:pPr>
      <w:r>
        <w:rPr>
          <w:bCs/>
          <w:b/>
        </w:rPr>
        <w:t xml:space="preserve">5.6</w:t>
      </w:r>
      <w:r>
        <w:t xml:space="preserve"> </w:t>
      </w:r>
      <w:r>
        <w:t xml:space="preserve">– Force majeure events, including but not limited to natural disasters, government-mandated lockdowns, or public health emergencies affecting the Guangzhou region, shall suspend obligations proportionally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financial provisions set forth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to deliver the specified services in</w:t>
      </w:r>
      <w:r>
        <w:t xml:space="preserve"> </w:t>
      </w:r>
      <w:r>
        <w:t xml:space="preserve">China Guangzhou</w:t>
      </w:r>
      <w:r>
        <w:t xml:space="preserve">. This document, once countersigned, constitutes a binding commercial agreement.</w:t>
      </w:r>
    </w:p>
    <w:p>
      <w:pPr>
        <w:pStyle w:val="BodyText"/>
      </w:pPr>
      <w:r>
        <w:rPr>
          <w:bCs/>
          <w:b/>
        </w:rPr>
        <w:t xml:space="preserve">For the Service Provider (Biomedical Engineer)</w:t>
      </w:r>
      <w:r>
        <w:br/>
      </w:r>
      <w:r>
        <w:t xml:space="preserve">Name: Dr. Wei Zhang</w:t>
      </w:r>
      <w:r>
        <w:br/>
      </w:r>
      <w:r>
        <w:t xml:space="preserve">Signature: _________________________</w:t>
      </w:r>
      <w:r>
        <w:br/>
      </w:r>
      <w:r>
        <w:t xml:space="preserve">Date: _________________________</w:t>
      </w:r>
    </w:p>
    <w:p>
      <w:pPr>
        <w:pStyle w:val="BodyText"/>
      </w:pPr>
      <w:r>
        <w:rPr>
          <w:bCs/>
          <w:b/>
        </w:rPr>
        <w:t xml:space="preserve">For the Client (Guangzhou Provincial Medical Equipment Administration)</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(Ref: QE-BME-GZ-2025-0047) is issued by the undersigned Biomedical Engineer registered in Guangzhou, Guangdong, China. All figures are denominated in Chinese Yuan (CNY). This document is confidential and intended solely for the named recipient. Unauthorized reproduction or distribution is prohibited under applicable Chinese law.</w:t>
      </w:r>
    </w:p>
    <w:p>
      <w:pPr>
        <w:pStyle w:val="BodyText"/>
      </w:pPr>
      <w:r>
        <w:t xml:space="preserve">© 2025 – Biomedical Engineering Professional Services, Guangzhou, China.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China Guangzhou</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