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Biomedical</w:t>
      </w:r>
      <w:r>
        <w:t xml:space="preserve"> </w:t>
      </w:r>
      <w:r>
        <w:t xml:space="preserve">Engineer</w:t>
      </w:r>
      <w:r>
        <w:t xml:space="preserve"> </w:t>
      </w:r>
      <w:r>
        <w:t xml:space="preserve">Services</w:t>
      </w:r>
      <w:r>
        <w:t xml:space="preserve"> </w:t>
      </w:r>
      <w:r>
        <w:t xml:space="preserve">-</w:t>
      </w:r>
      <w:r>
        <w:t xml:space="preserve"> </w:t>
      </w:r>
      <w:r>
        <w:t xml:space="preserve">France</w:t>
      </w:r>
      <w:r>
        <w:t xml:space="preserve"> </w:t>
      </w:r>
      <w:r>
        <w:t xml:space="preserve">Paris</w:t>
      </w:r>
    </w:p>
    <w:bookmarkStart w:id="20" w:name="meditech-solutions-sarl"/>
    <w:p>
      <w:pPr>
        <w:pStyle w:val="Heading1"/>
      </w:pPr>
      <w:r>
        <w:t xml:space="preserve">MediTech Solutions SARL</w:t>
      </w:r>
    </w:p>
    <w:p>
      <w:pPr>
        <w:pStyle w:val="FirstParagraph"/>
      </w:pPr>
      <w:r>
        <w:t xml:space="preserve">128 Avenue de la République, 75011 Paris, France</w:t>
      </w:r>
    </w:p>
    <w:p>
      <w:pPr>
        <w:pStyle w:val="BodyText"/>
      </w:pPr>
      <w:r>
        <w:t xml:space="preserve">Tel: +33 1 44 55 66 77 | Email: quotes@meditech-solutions.fr</w:t>
      </w:r>
    </w:p>
    <w:p>
      <w:pPr>
        <w:pStyle w:val="BodyText"/>
      </w:pPr>
      <w:r>
        <w:t xml:space="preserve">SIRET: 842 567 891 00032 | TVA: FR 45 842567891</w:t>
      </w:r>
    </w:p>
    <w:bookmarkEnd w:id="20"/>
    <w:p>
      <w:pPr>
        <w:pStyle w:val="BodyText"/>
      </w:pPr>
      <w:r>
        <w:t xml:space="preserve">Document Reference:</w:t>
      </w:r>
    </w:p>
    <w:p>
      <w:pPr>
        <w:pStyle w:val="BodyText"/>
      </w:pPr>
      <w:r>
        <w:t xml:space="preserve">QTE-2025-BME-0047</w:t>
      </w:r>
    </w:p>
    <w:p>
      <w:pPr>
        <w:pStyle w:val="BodyText"/>
      </w:pPr>
      <w:r>
        <w:t xml:space="preserve">Date of Issue: 14 June 2025</w:t>
      </w:r>
    </w:p>
    <w:bookmarkStart w:id="21" w:name="quotation-estimate"/>
    <w:p>
      <w:pPr>
        <w:pStyle w:val="Heading2"/>
      </w:pPr>
      <w:r>
        <w:t xml:space="preserve">QUOTATION ESTIMATE</w:t>
      </w:r>
    </w:p>
    <w:p>
      <w:pPr>
        <w:pStyle w:val="FirstParagraph"/>
      </w:pPr>
      <w:r>
        <w:t xml:space="preserve">Professional Services for Biomedical Engineer – France Paris Region</w:t>
      </w:r>
    </w:p>
    <w:bookmarkEnd w:id="21"/>
    <w:tbl>
      <w:tblPr>
        <w:tblStyle w:val="Table"/>
        <w:tblW w:type="auto" w:w="0"/>
        <w:tblLook w:firstRow="0" w:lastRow="0" w:firstColumn="0" w:lastColumn="0" w:noHBand="0" w:noVBand="0" w:val="0000"/>
      </w:tblPr>
      <w:tblGrid>
        <w:gridCol w:w="3960"/>
        <w:gridCol w:w="3960"/>
      </w:tblGrid>
      <w:tr>
        <w:tc>
          <w:tcPr/>
          <w:p>
            <w:pPr>
              <w:pStyle w:val="Compact"/>
              <w:jc w:val="left"/>
            </w:pPr>
            <w:r>
              <w:t xml:space="preserve">Client Name</w:t>
            </w:r>
          </w:p>
        </w:tc>
        <w:tc>
          <w:tcPr/>
          <w:p>
            <w:pPr>
              <w:pStyle w:val="Compact"/>
              <w:jc w:val="left"/>
            </w:pPr>
            <w:r>
              <w:t xml:space="preserve">Hôpital Central de Paris – Direction des Affaires Médicales</w:t>
            </w:r>
          </w:p>
        </w:tc>
      </w:tr>
      <w:tr>
        <w:tc>
          <w:tcPr/>
          <w:p>
            <w:pPr>
              <w:pStyle w:val="Compact"/>
              <w:jc w:val="left"/>
            </w:pPr>
            <w:r>
              <w:t xml:space="preserve">Client Address</w:t>
            </w:r>
          </w:p>
        </w:tc>
        <w:tc>
          <w:tcPr/>
          <w:p>
            <w:pPr>
              <w:pStyle w:val="Compact"/>
              <w:jc w:val="left"/>
            </w:pPr>
            <w:r>
              <w:t xml:space="preserve">45 Rue du Faubourg Saint-Antoine, 75012 Paris, France</w:t>
            </w:r>
          </w:p>
        </w:tc>
      </w:tr>
      <w:tr>
        <w:tc>
          <w:tcPr/>
          <w:p>
            <w:pPr>
              <w:pStyle w:val="Compact"/>
              <w:jc w:val="left"/>
            </w:pPr>
            <w:r>
              <w:t xml:space="preserve">Project Reference</w:t>
            </w:r>
          </w:p>
        </w:tc>
        <w:tc>
          <w:tcPr/>
          <w:p>
            <w:pPr>
              <w:pStyle w:val="Compact"/>
              <w:jc w:val="left"/>
            </w:pPr>
            <w:r>
              <w:t xml:space="preserve">Medical Equipment Maintenance &amp; Biomedical Engineering Support – FY 2025/2026</w:t>
            </w:r>
          </w:p>
        </w:tc>
      </w:tr>
      <w:tr>
        <w:tc>
          <w:tcPr/>
          <w:p>
            <w:pPr>
              <w:pStyle w:val="Compact"/>
              <w:jc w:val="left"/>
            </w:pPr>
            <w:r>
              <w:t xml:space="preserve">Quotation Validity</w:t>
            </w:r>
          </w:p>
        </w:tc>
        <w:tc>
          <w:tcPr/>
          <w:p>
            <w:pPr>
              <w:pStyle w:val="Compact"/>
              <w:jc w:val="left"/>
            </w:pPr>
            <w:r>
              <w:t xml:space="preserve">60 days from the date of issue (expires 13 August 2025)</w:t>
            </w:r>
          </w:p>
        </w:tc>
      </w:tr>
      <w:tr>
        <w:tc>
          <w:tcPr/>
          <w:p>
            <w:pPr>
              <w:pStyle w:val="Compact"/>
              <w:jc w:val="left"/>
            </w:pPr>
            <w:r>
              <w:t xml:space="preserve">Currency</w:t>
            </w:r>
          </w:p>
        </w:tc>
        <w:tc>
          <w:tcPr/>
          <w:p>
            <w:pPr>
              <w:pStyle w:val="Compact"/>
              <w:jc w:val="left"/>
            </w:pPr>
            <w:r>
              <w:t xml:space="preserve">Euro (EUR) – all amounts exclusive of TVA (20%)</w:t>
            </w:r>
          </w:p>
        </w:tc>
      </w:tr>
    </w:tbl>
    <w:bookmarkStart w:id="22" w:name="Xa7f1faa461b03cc210eb26f9b04e497671c78c1"/>
    <w:p>
      <w:pPr>
        <w:pStyle w:val="Heading3"/>
      </w:pPr>
      <w:r>
        <w:t xml:space="preserve">1. Scope of Work – Biomedical Engineer Services</w:t>
      </w:r>
    </w:p>
    <w:p>
      <w:pPr>
        <w:pStyle w:val="FirstParagraph"/>
      </w:pPr>
      <w:r>
        <w:t xml:space="preserve">This</w:t>
      </w:r>
      <w:r>
        <w:t xml:space="preserve"> </w:t>
      </w:r>
      <w:r>
        <w:t xml:space="preserve">Quotation Estimate</w:t>
      </w:r>
      <w:r>
        <w:t xml:space="preserve"> </w:t>
      </w:r>
      <w:r>
        <w:t xml:space="preserve">is issued by MediTech Solutions SARL to provide comprehensive professional services delivered by a certified</w:t>
      </w:r>
      <w:r>
        <w:t xml:space="preserve"> </w:t>
      </w:r>
      <w:r>
        <w:t xml:space="preserve">Biomedical Engineer</w:t>
      </w:r>
      <w:r>
        <w:t xml:space="preserve"> </w:t>
      </w:r>
      <w:r>
        <w:t xml:space="preserve">operating within the</w:t>
      </w:r>
      <w:r>
        <w:t xml:space="preserve"> </w:t>
      </w:r>
      <w:r>
        <w:t xml:space="preserve">France Paris</w:t>
      </w:r>
      <w:r>
        <w:t xml:space="preserve"> </w:t>
      </w:r>
      <w:r>
        <w:t xml:space="preserve">metropolitan area. The scope encompasses the following activities:</w:t>
      </w:r>
    </w:p>
    <w:p>
      <w:pPr>
        <w:numPr>
          <w:ilvl w:val="0"/>
          <w:numId w:val="1001"/>
        </w:numPr>
        <w:pStyle w:val="Compact"/>
      </w:pPr>
      <w:r>
        <w:t xml:space="preserve">Preventive and corrective maintenance of all Class IIa and IIb medical devices installed across the hospital's twelve clinical departments, including imaging equipment (MRI, CT, ultrasound), patient monitoring systems, surgical instruments, and laboratory analyzers.</w:t>
      </w:r>
    </w:p>
    <w:p>
      <w:pPr>
        <w:numPr>
          <w:ilvl w:val="0"/>
          <w:numId w:val="1001"/>
        </w:numPr>
        <w:pStyle w:val="Compact"/>
      </w:pPr>
      <w:r>
        <w:t xml:space="preserve">Installation, calibration, and commissioning of new biomedical equipment procured by the hospital, ensuring full compliance with French regulatory standards (ANSM) and European Medical Device Regulation (MDR 2017/745).</w:t>
      </w:r>
    </w:p>
    <w:p>
      <w:pPr>
        <w:numPr>
          <w:ilvl w:val="0"/>
          <w:numId w:val="1001"/>
        </w:numPr>
        <w:pStyle w:val="Compact"/>
      </w:pPr>
      <w:r>
        <w:t xml:space="preserve">Biomedical risk assessment and safety audits conducted quarterly, with written reports submitted to the hospital's Quality and Safety Committee.</w:t>
      </w:r>
    </w:p>
    <w:p>
      <w:pPr>
        <w:numPr>
          <w:ilvl w:val="0"/>
          <w:numId w:val="1001"/>
        </w:numPr>
        <w:pStyle w:val="Compact"/>
      </w:pPr>
      <w:r>
        <w:t xml:space="preserve">Technical support and troubleshooting for biomedical equipment failures, with a guaranteed on-site response time of four (4) business hours within the France Paris service zone.</w:t>
      </w:r>
    </w:p>
    <w:p>
      <w:pPr>
        <w:numPr>
          <w:ilvl w:val="0"/>
          <w:numId w:val="1001"/>
        </w:numPr>
        <w:pStyle w:val="Compact"/>
      </w:pPr>
      <w:r>
        <w:t xml:space="preserve">Training sessions for clinical and technical staff on the proper operation, basic maintenance, and safety protocols of biomedical devices.</w:t>
      </w:r>
    </w:p>
    <w:p>
      <w:pPr>
        <w:numPr>
          <w:ilvl w:val="0"/>
          <w:numId w:val="1001"/>
        </w:numPr>
        <w:pStyle w:val="Compact"/>
      </w:pPr>
      <w:r>
        <w:t xml:space="preserve">Management of the hospital's biomedical equipment inventory database, including lifecycle tracking, warranty monitoring, and end-of-life replacement recommendations.</w:t>
      </w:r>
    </w:p>
    <w:p>
      <w:pPr>
        <w:numPr>
          <w:ilvl w:val="0"/>
          <w:numId w:val="1001"/>
        </w:numPr>
        <w:pStyle w:val="Compact"/>
      </w:pPr>
      <w:r>
        <w:t xml:space="preserve">Regulatory liaison support, including preparation of technical documentation for ANSM inspections and coordination with the French Ministry of Health on device conformity matters.</w:t>
      </w:r>
    </w:p>
    <w:bookmarkEnd w:id="22"/>
    <w:bookmarkStart w:id="23" w:name="detailed-cost-breakdown"/>
    <w:p>
      <w:pPr>
        <w:pStyle w:val="Heading3"/>
      </w:pPr>
      <w:r>
        <w:t xml:space="preserve">2. Detailed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Rate (EUR)</w:t>
            </w:r>
          </w:p>
        </w:tc>
        <w:tc>
          <w:tcPr/>
          <w:p>
            <w:pPr>
              <w:pStyle w:val="Compact"/>
              <w:jc w:val="left"/>
            </w:pPr>
            <w:r>
              <w:t xml:space="preserve">Subtotal (EUR)</w:t>
            </w:r>
          </w:p>
        </w:tc>
      </w:tr>
      <w:tr>
        <w:tc>
          <w:tcPr/>
          <w:p>
            <w:pPr>
              <w:pStyle w:val="Compact"/>
              <w:jc w:val="left"/>
            </w:pPr>
            <w:r>
              <w:t xml:space="preserve">01</w:t>
            </w:r>
          </w:p>
        </w:tc>
        <w:tc>
          <w:tcPr/>
          <w:p>
            <w:pPr>
              <w:pStyle w:val="Compact"/>
              <w:jc w:val="left"/>
            </w:pPr>
            <w:r>
              <w:t xml:space="preserve">Biomedical Engineer – Full-time on-site presence (Monday to Friday, 08:00–17:00) for preventive maintenance and daily technical support</w:t>
            </w:r>
          </w:p>
        </w:tc>
        <w:tc>
          <w:tcPr/>
          <w:p>
            <w:pPr>
              <w:pStyle w:val="Compact"/>
              <w:jc w:val="left"/>
            </w:pPr>
            <w:r>
              <w:t xml:space="preserve">12 months</w:t>
            </w:r>
          </w:p>
        </w:tc>
        <w:tc>
          <w:tcPr/>
          <w:p>
            <w:pPr>
              <w:pStyle w:val="Compact"/>
              <w:jc w:val="left"/>
            </w:pPr>
            <w:r>
              <w:t xml:space="preserve">6,800.00 / month</w:t>
            </w:r>
          </w:p>
        </w:tc>
        <w:tc>
          <w:tcPr/>
          <w:p>
            <w:pPr>
              <w:pStyle w:val="Compact"/>
              <w:jc w:val="left"/>
            </w:pPr>
            <w:r>
              <w:t xml:space="preserve">81,600.00</w:t>
            </w:r>
          </w:p>
        </w:tc>
      </w:tr>
      <w:tr>
        <w:tc>
          <w:tcPr/>
          <w:p>
            <w:pPr>
              <w:pStyle w:val="Compact"/>
              <w:jc w:val="left"/>
            </w:pPr>
            <w:r>
              <w:t xml:space="preserve">02</w:t>
            </w:r>
          </w:p>
        </w:tc>
        <w:tc>
          <w:tcPr/>
          <w:p>
            <w:pPr>
              <w:pStyle w:val="Compact"/>
              <w:jc w:val="left"/>
            </w:pPr>
            <w:r>
              <w:t xml:space="preserve">Emergency call-out service (weekends, public holidays, and after-hours) – Biomedical Engineer on-call rotation</w:t>
            </w:r>
          </w:p>
        </w:tc>
        <w:tc>
          <w:tcPr/>
          <w:p>
            <w:pPr>
              <w:pStyle w:val="Compact"/>
              <w:jc w:val="left"/>
            </w:pPr>
            <w:r>
              <w:t xml:space="preserve">12 months</w:t>
            </w:r>
          </w:p>
        </w:tc>
        <w:tc>
          <w:tcPr/>
          <w:p>
            <w:pPr>
              <w:pStyle w:val="Compact"/>
              <w:jc w:val="left"/>
            </w:pPr>
            <w:r>
              <w:t xml:space="preserve">1,200.00 / month</w:t>
            </w:r>
          </w:p>
        </w:tc>
        <w:tc>
          <w:tcPr/>
          <w:p>
            <w:pPr>
              <w:pStyle w:val="Compact"/>
              <w:jc w:val="left"/>
            </w:pPr>
            <w:r>
              <w:t xml:space="preserve">14,400.00</w:t>
            </w:r>
          </w:p>
        </w:tc>
      </w:tr>
      <w:tr>
        <w:tc>
          <w:tcPr/>
          <w:p>
            <w:pPr>
              <w:pStyle w:val="Compact"/>
              <w:jc w:val="left"/>
            </w:pPr>
            <w:r>
              <w:t xml:space="preserve">03</w:t>
            </w:r>
          </w:p>
        </w:tc>
        <w:tc>
          <w:tcPr/>
          <w:p>
            <w:pPr>
              <w:pStyle w:val="Compact"/>
              <w:jc w:val="left"/>
            </w:pPr>
            <w:r>
              <w:t xml:space="preserve">Installation and commissioning of new biomedical equipment (estimated 8 units per year)</w:t>
            </w:r>
          </w:p>
        </w:tc>
        <w:tc>
          <w:tcPr/>
          <w:p>
            <w:pPr>
              <w:pStyle w:val="Compact"/>
              <w:jc w:val="left"/>
            </w:pPr>
            <w:r>
              <w:t xml:space="preserve">8 units</w:t>
            </w:r>
          </w:p>
        </w:tc>
        <w:tc>
          <w:tcPr/>
          <w:p>
            <w:pPr>
              <w:pStyle w:val="Compact"/>
              <w:jc w:val="left"/>
            </w:pPr>
            <w:r>
              <w:t xml:space="preserve">1,850.00 / unit</w:t>
            </w:r>
          </w:p>
        </w:tc>
        <w:tc>
          <w:tcPr/>
          <w:p>
            <w:pPr>
              <w:pStyle w:val="Compact"/>
              <w:jc w:val="left"/>
            </w:pPr>
            <w:r>
              <w:t xml:space="preserve">14,800.00</w:t>
            </w:r>
          </w:p>
        </w:tc>
      </w:tr>
      <w:tr>
        <w:tc>
          <w:tcPr/>
          <w:p>
            <w:pPr>
              <w:pStyle w:val="Compact"/>
              <w:jc w:val="left"/>
            </w:pPr>
            <w:r>
              <w:t xml:space="preserve">04</w:t>
            </w:r>
          </w:p>
        </w:tc>
        <w:tc>
          <w:tcPr/>
          <w:p>
            <w:pPr>
              <w:pStyle w:val="Compact"/>
              <w:jc w:val="left"/>
            </w:pPr>
            <w:r>
              <w:t xml:space="preserve">Quarterly biomedical safety audit and risk assessment report (4 reports per year)</w:t>
            </w:r>
          </w:p>
        </w:tc>
        <w:tc>
          <w:tcPr/>
          <w:p>
            <w:pPr>
              <w:pStyle w:val="Compact"/>
              <w:jc w:val="left"/>
            </w:pPr>
            <w:r>
              <w:t xml:space="preserve">4 reports</w:t>
            </w:r>
          </w:p>
        </w:tc>
        <w:tc>
          <w:tcPr/>
          <w:p>
            <w:pPr>
              <w:pStyle w:val="Compact"/>
              <w:jc w:val="left"/>
            </w:pPr>
            <w:r>
              <w:t xml:space="preserve">2,400.00 / report</w:t>
            </w:r>
          </w:p>
        </w:tc>
        <w:tc>
          <w:tcPr/>
          <w:p>
            <w:pPr>
              <w:pStyle w:val="Compact"/>
              <w:jc w:val="left"/>
            </w:pPr>
            <w:r>
              <w:t xml:space="preserve">9,600.00</w:t>
            </w:r>
          </w:p>
        </w:tc>
      </w:tr>
      <w:tr>
        <w:tc>
          <w:tcPr/>
          <w:p>
            <w:pPr>
              <w:pStyle w:val="Compact"/>
              <w:jc w:val="left"/>
            </w:pPr>
            <w:r>
              <w:t xml:space="preserve">05</w:t>
            </w:r>
          </w:p>
        </w:tc>
        <w:tc>
          <w:tcPr/>
          <w:p>
            <w:pPr>
              <w:pStyle w:val="Compact"/>
              <w:jc w:val="left"/>
            </w:pPr>
            <w:r>
              <w:t xml:space="preserve">Staff training workshops on biomedical device operation and safety (2 sessions per quarter)</w:t>
            </w:r>
          </w:p>
        </w:tc>
        <w:tc>
          <w:tcPr/>
          <w:p>
            <w:pPr>
              <w:pStyle w:val="Compact"/>
              <w:jc w:val="left"/>
            </w:pPr>
            <w:r>
              <w:t xml:space="preserve">8 sessions</w:t>
            </w:r>
          </w:p>
        </w:tc>
        <w:tc>
          <w:tcPr/>
          <w:p>
            <w:pPr>
              <w:pStyle w:val="Compact"/>
              <w:jc w:val="left"/>
            </w:pPr>
            <w:r>
              <w:t xml:space="preserve">950.00 / session</w:t>
            </w:r>
          </w:p>
        </w:tc>
        <w:tc>
          <w:tcPr/>
          <w:p>
            <w:pPr>
              <w:pStyle w:val="Compact"/>
              <w:jc w:val="left"/>
            </w:pPr>
            <w:r>
              <w:t xml:space="preserve">7,600.00</w:t>
            </w:r>
          </w:p>
        </w:tc>
      </w:tr>
      <w:tr>
        <w:tc>
          <w:tcPr/>
          <w:p>
            <w:pPr>
              <w:pStyle w:val="Compact"/>
              <w:jc w:val="left"/>
            </w:pPr>
            <w:r>
              <w:t xml:space="preserve">06</w:t>
            </w:r>
          </w:p>
        </w:tc>
        <w:tc>
          <w:tcPr/>
          <w:p>
            <w:pPr>
              <w:pStyle w:val="Compact"/>
              <w:jc w:val="left"/>
            </w:pPr>
            <w:r>
              <w:t xml:space="preserve">Biomedical equipment inventory management and lifecycle database maintenance</w:t>
            </w:r>
          </w:p>
        </w:tc>
        <w:tc>
          <w:tcPr/>
          <w:p>
            <w:pPr>
              <w:pStyle w:val="Compact"/>
              <w:jc w:val="left"/>
            </w:pPr>
            <w:r>
              <w:t xml:space="preserve">12 months</w:t>
            </w:r>
          </w:p>
        </w:tc>
        <w:tc>
          <w:tcPr/>
          <w:p>
            <w:pPr>
              <w:pStyle w:val="Compact"/>
              <w:jc w:val="left"/>
            </w:pPr>
            <w:r>
              <w:t xml:space="preserve">850.00 / month</w:t>
            </w:r>
          </w:p>
        </w:tc>
        <w:tc>
          <w:tcPr/>
          <w:p>
            <w:pPr>
              <w:pStyle w:val="Compact"/>
              <w:jc w:val="left"/>
            </w:pPr>
            <w:r>
              <w:t xml:space="preserve">10,200.00</w:t>
            </w:r>
          </w:p>
        </w:tc>
      </w:tr>
      <w:tr>
        <w:tc>
          <w:tcPr/>
          <w:p>
            <w:pPr>
              <w:pStyle w:val="Compact"/>
              <w:jc w:val="left"/>
            </w:pPr>
            <w:r>
              <w:t xml:space="preserve">07</w:t>
            </w:r>
          </w:p>
        </w:tc>
        <w:tc>
          <w:tcPr/>
          <w:p>
            <w:pPr>
              <w:pStyle w:val="Compact"/>
              <w:jc w:val="left"/>
            </w:pPr>
            <w:r>
              <w:t xml:space="preserve">Regulatory compliance support and ANSM inspection preparation (France Paris jurisdiction)</w:t>
            </w:r>
          </w:p>
        </w:tc>
        <w:tc>
          <w:tcPr/>
          <w:p>
            <w:pPr>
              <w:pStyle w:val="Compact"/>
              <w:jc w:val="left"/>
            </w:pPr>
            <w:r>
              <w:t xml:space="preserve">12 months</w:t>
            </w:r>
          </w:p>
        </w:tc>
        <w:tc>
          <w:tcPr/>
          <w:p>
            <w:pPr>
              <w:pStyle w:val="Compact"/>
              <w:jc w:val="left"/>
            </w:pPr>
            <w:r>
              <w:t xml:space="preserve">1,500.00 / month</w:t>
            </w:r>
          </w:p>
        </w:tc>
        <w:tc>
          <w:tcPr/>
          <w:p>
            <w:pPr>
              <w:pStyle w:val="Compact"/>
              <w:jc w:val="left"/>
            </w:pPr>
            <w:r>
              <w:t xml:space="preserve">18,000.00</w:t>
            </w:r>
          </w:p>
        </w:tc>
      </w:tr>
      <w:tr>
        <w:tc>
          <w:tcPr/>
          <w:p>
            <w:pPr>
              <w:pStyle w:val="Compact"/>
              <w:jc w:val="left"/>
            </w:pPr>
            <w:r>
              <w:t xml:space="preserve">08</w:t>
            </w:r>
          </w:p>
        </w:tc>
        <w:tc>
          <w:tcPr/>
          <w:p>
            <w:pPr>
              <w:pStyle w:val="Compact"/>
              <w:jc w:val="left"/>
            </w:pPr>
            <w:r>
              <w:t xml:space="preserve">Travel and local transportation within the France Paris metropolitan area (Zone 1–6)</w:t>
            </w:r>
          </w:p>
        </w:tc>
        <w:tc>
          <w:tcPr/>
          <w:p>
            <w:pPr>
              <w:pStyle w:val="Compact"/>
              <w:jc w:val="left"/>
            </w:pPr>
            <w:r>
              <w:t xml:space="preserve">12 months</w:t>
            </w:r>
          </w:p>
        </w:tc>
        <w:tc>
          <w:tcPr/>
          <w:p>
            <w:pPr>
              <w:pStyle w:val="Compact"/>
              <w:jc w:val="left"/>
            </w:pPr>
            <w:r>
              <w:t xml:space="preserve">420.00 / month</w:t>
            </w:r>
          </w:p>
        </w:tc>
        <w:tc>
          <w:tcPr/>
          <w:p>
            <w:pPr>
              <w:pStyle w:val="Compact"/>
              <w:jc w:val="left"/>
            </w:pPr>
            <w:r>
              <w:t xml:space="preserve">5,040.00</w:t>
            </w:r>
          </w:p>
        </w:tc>
      </w:tr>
      <w:tr>
        <w:tc>
          <w:tcPr>
            <w:gridSpan w:val="4"/>
          </w:tcPr>
          <w:p>
            <w:pPr>
              <w:pStyle w:val="Compact"/>
              <w:jc w:val="right"/>
            </w:pPr>
            <w:r>
              <w:t xml:space="preserve">TOTAL (excl. TVA)</w:t>
            </w:r>
          </w:p>
        </w:tc>
        <w:tc>
          <w:tcPr/>
          <w:p>
            <w:pPr>
              <w:pStyle w:val="Compact"/>
              <w:jc w:val="left"/>
            </w:pPr>
            <w:r>
              <w:t xml:space="preserve">161,240.00</w:t>
            </w:r>
          </w:p>
        </w:tc>
      </w:tr>
      <w:tr>
        <w:tc>
          <w:tcPr>
            <w:gridSpan w:val="4"/>
          </w:tcPr>
          <w:p>
            <w:pPr>
              <w:pStyle w:val="Compact"/>
              <w:jc w:val="right"/>
            </w:pPr>
            <w:r>
              <w:t xml:space="preserve">TVA (20%)</w:t>
            </w:r>
          </w:p>
        </w:tc>
        <w:tc>
          <w:tcPr/>
          <w:p>
            <w:pPr>
              <w:pStyle w:val="Compact"/>
              <w:jc w:val="left"/>
            </w:pPr>
            <w:r>
              <w:t xml:space="preserve">32,248.00</w:t>
            </w:r>
          </w:p>
        </w:tc>
      </w:tr>
      <w:tr>
        <w:tc>
          <w:tcPr>
            <w:gridSpan w:val="4"/>
          </w:tcPr>
          <w:p>
            <w:pPr>
              <w:pStyle w:val="Compact"/>
              <w:jc w:val="right"/>
            </w:pPr>
            <w:r>
              <w:t xml:space="preserve">GRAND TOTAL (incl. TVA)</w:t>
            </w:r>
          </w:p>
        </w:tc>
        <w:tc>
          <w:tcPr/>
          <w:p>
            <w:pPr>
              <w:pStyle w:val="Compact"/>
              <w:jc w:val="left"/>
            </w:pPr>
            <w:r>
              <w:t xml:space="preserve">193,488.00</w:t>
            </w:r>
          </w:p>
        </w:tc>
      </w:tr>
    </w:tbl>
    <w:bookmarkEnd w:id="23"/>
    <w:bookmarkStart w:id="24" w:name="terms-and-conditions"/>
    <w:p>
      <w:pPr>
        <w:pStyle w:val="Heading3"/>
      </w:pPr>
      <w:r>
        <w:t xml:space="preserve">3. Terms and Conditions</w:t>
      </w:r>
    </w:p>
    <w:p>
      <w:pPr>
        <w:numPr>
          <w:ilvl w:val="0"/>
          <w:numId w:val="1002"/>
        </w:numPr>
        <w:pStyle w:val="Compact"/>
      </w:pPr>
      <w:r>
        <w:t xml:space="preserve">This</w:t>
      </w:r>
      <w:r>
        <w:t xml:space="preserve"> </w:t>
      </w:r>
      <w:r>
        <w:t xml:space="preserve">Quotation Estimate</w:t>
      </w:r>
      <w:r>
        <w:t xml:space="preserve"> </w:t>
      </w:r>
      <w:r>
        <w:t xml:space="preserve">is valid for a period of sixty (60) calendar days from the date of issue. Beyond this period, MediTech Solutions SARL reserves the right to revise pricing due to market fluctuations, regulatory changes, or resource availability within the France Paris region.</w:t>
      </w:r>
    </w:p>
    <w:p>
      <w:pPr>
        <w:numPr>
          <w:ilvl w:val="0"/>
          <w:numId w:val="1002"/>
        </w:numPr>
        <w:pStyle w:val="Compact"/>
      </w:pPr>
      <w:r>
        <w:t xml:space="preserve">Payment terms: 30 days net from the date of invoice. Invoices shall be issued monthly in arrears. Late payments shall incur interest at the rate prescribed by Article L441-10 of the French Commercial Code.</w:t>
      </w:r>
    </w:p>
    <w:p>
      <w:pPr>
        <w:numPr>
          <w:ilvl w:val="0"/>
          <w:numId w:val="1002"/>
        </w:numPr>
        <w:pStyle w:val="Compact"/>
      </w:pPr>
      <w:r>
        <w:t xml:space="preserve">The Biomedical Engineer assigned to this contract shall hold a minimum of a Master's degree in Biomedical Engineering (Diplôme d'Ingénieur) and be registered with the French National Order of Engineers (Ordre des Ingénieurs). Professional liability insurance of no less than 1,000,000 EUR shall be maintained throughout the contract period.</w:t>
      </w:r>
    </w:p>
    <w:p>
      <w:pPr>
        <w:numPr>
          <w:ilvl w:val="0"/>
          <w:numId w:val="1002"/>
        </w:numPr>
        <w:pStyle w:val="Compact"/>
      </w:pPr>
      <w:r>
        <w:t xml:space="preserve">All services shall be performed in strict compliance with French labor law (Code du Travail), applicable health and safety regulations, and the specific requirements of the France Paris healthcare authority.</w:t>
      </w:r>
    </w:p>
    <w:p>
      <w:pPr>
        <w:numPr>
          <w:ilvl w:val="0"/>
          <w:numId w:val="1002"/>
        </w:numPr>
        <w:pStyle w:val="Compact"/>
      </w:pPr>
      <w:r>
        <w:t xml:space="preserve">Confidentiality: All patient data, hospital operational information, and proprietary technical documentation accessed during the engagement shall be treated as strictly confidential in accordance with the French Data Protection Act and the EU General Data Protection Regulation (GDPR).</w:t>
      </w:r>
    </w:p>
    <w:p>
      <w:pPr>
        <w:numPr>
          <w:ilvl w:val="0"/>
          <w:numId w:val="1002"/>
        </w:numPr>
        <w:pStyle w:val="Compact"/>
      </w:pPr>
      <w:r>
        <w:t xml:space="preserve">Termination: Either party may terminate this agreement with a written notice of sixty (60) days. In the event of termination, all completed services up to the effective date of termination shall be invoiced and paid in full.</w:t>
      </w:r>
    </w:p>
    <w:p>
      <w:pPr>
        <w:numPr>
          <w:ilvl w:val="0"/>
          <w:numId w:val="1002"/>
        </w:numPr>
        <w:pStyle w:val="Compact"/>
      </w:pPr>
      <w:r>
        <w:t xml:space="preserve">Dispute resolution: Any dispute arising from this Quotation Estimate or the resulting contract shall be submitted to the competent courts of Paris, France. The parties shall first attempt to resolve disputes through good-faith negotiation before initiating legal proceedings.</w:t>
      </w:r>
    </w:p>
    <w:p>
      <w:pPr>
        <w:numPr>
          <w:ilvl w:val="0"/>
          <w:numId w:val="1002"/>
        </w:numPr>
        <w:pStyle w:val="Compact"/>
      </w:pPr>
      <w:r>
        <w:t xml:space="preserve">This Quotation Estimate does not constitute a binding contract until formally accepted in writing by both parties and countersigned. Acceptance shall be evidenced by the return of a signed copy of this document.</w:t>
      </w:r>
    </w:p>
    <w:p>
      <w:pPr>
        <w:pStyle w:val="FirstParagraph"/>
      </w:pPr>
      <w:r>
        <w:rPr>
          <w:bCs/>
          <w:b/>
        </w:rPr>
        <w:t xml:space="preserve">For MediTech Solutions SARL</w:t>
      </w:r>
    </w:p>
    <w:p>
      <w:pPr>
        <w:pStyle w:val="BodyText"/>
      </w:pPr>
      <w:r>
        <w:t xml:space="preserve">Name: Dr. Laurent Moreau</w:t>
      </w:r>
    </w:p>
    <w:p>
      <w:pPr>
        <w:pStyle w:val="BodyText"/>
      </w:pPr>
      <w:r>
        <w:t xml:space="preserve">Title: Director of Biomedical Engineering Services</w:t>
      </w:r>
    </w:p>
    <w:p>
      <w:pPr>
        <w:pStyle w:val="BodyText"/>
      </w:pPr>
      <w:r>
        <w:t xml:space="preserve">Date: ____________________</w:t>
      </w:r>
    </w:p>
    <w:p>
      <w:pPr>
        <w:pStyle w:val="BodyText"/>
      </w:pPr>
      <w:r>
        <w:rPr>
          <w:bCs/>
          <w:b/>
        </w:rPr>
        <w:t xml:space="preserve">For Hôpital Central de Paris</w:t>
      </w:r>
    </w:p>
    <w:p>
      <w:pPr>
        <w:pStyle w:val="BodyText"/>
      </w:pPr>
      <w:r>
        <w:t xml:space="preserve">Name: ____________________</w:t>
      </w:r>
    </w:p>
    <w:p>
      <w:pPr>
        <w:pStyle w:val="BodyText"/>
      </w:pPr>
      <w:r>
        <w:t xml:space="preserve">Title: Director of Medical Affairs</w:t>
      </w:r>
    </w:p>
    <w:p>
      <w:pPr>
        <w:pStyle w:val="BodyText"/>
      </w:pPr>
      <w:r>
        <w:t xml:space="preserve">Date: ____________________</w:t>
      </w:r>
    </w:p>
    <w:p>
      <w:pPr>
        <w:pStyle w:val="BodyText"/>
      </w:pPr>
      <w:r>
        <w:rPr>
          <w:bCs/>
          <w:b/>
        </w:rPr>
        <w:t xml:space="preserve">Important Notice:</w:t>
      </w:r>
      <w:r>
        <w:t xml:space="preserve"> </w:t>
      </w:r>
      <w:r>
        <w:t xml:space="preserve">This Quotation Estimate has been prepared specifically for the France Paris healthcare sector and reflects current market rates for Biomedical Engineer professional services as of June 2025. All technical standards referenced herein comply with the French National Authority for Health Products Safety (ANSM) guidelines and the European Union Medical Device Regulation. MediTech Solutions SARL is fully licensed and insured to provide biomedical engineering services throughout the France Paris metropolitan area and the Île-de-France region. Please direct all inquiries regarding this Quotation Estimate to quotes@meditech-solutions.fr or by telephone at +33 1 44 55 66 77.</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Biomedical Engineer Services - France Paris</dc:title>
  <dc:creator/>
  <dc:language>en</dc:language>
  <cp:keywords/>
  <dcterms:created xsi:type="dcterms:W3CDTF">2026-10-10T03:07:59Z</dcterms:created>
  <dcterms:modified xsi:type="dcterms:W3CDTF">2026-10-10T03:07:59Z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