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rPr>
          <w:bCs/>
          <w:b/>
        </w:rPr>
        <w:t xml:space="preserve">Munich Biomedical Engineering Solutions GmbH</w:t>
      </w:r>
    </w:p>
    <w:p>
      <w:pPr>
        <w:pStyle w:val="BodyText"/>
      </w:pPr>
      <w:r>
        <w:t xml:space="preserve">Leopoldstraße 245, 80807 Munich, Germany</w:t>
      </w:r>
    </w:p>
    <w:p>
      <w:pPr>
        <w:pStyle w:val="BodyText"/>
      </w:pPr>
      <w:r>
        <w:t xml:space="preserve">Phone: +49 89 1234 5678 | Email: estimates@munich-bme-solutions.de</w:t>
      </w:r>
    </w:p>
    <w:p>
      <w:pPr>
        <w:pStyle w:val="BodyText"/>
      </w:pPr>
      <w:r>
        <w:t xml:space="preserve">USt-IdNr: DE312456789 | HRB 123456, Amtsgericht München</w:t>
      </w:r>
    </w:p>
    <w:bookmarkEnd w:id="20"/>
    <w:p>
      <w:pPr>
        <w:pStyle w:val="BodyText"/>
      </w:pPr>
      <w:r>
        <w:rPr>
          <w:bCs/>
          <w:b/>
        </w:rPr>
        <w:t xml:space="preserve">Quotation Estimate No.:</w:t>
      </w:r>
      <w:r>
        <w:t xml:space="preserve"> </w:t>
      </w:r>
      <w:r>
        <w:t xml:space="preserve">QTE-2025-BME-0487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For:</w:t>
      </w:r>
    </w:p>
    <w:p>
      <w:pPr>
        <w:pStyle w:val="BodyText"/>
      </w:pPr>
      <w:r>
        <w:t xml:space="preserve">TUM Klinikum Rechts der Isar</w:t>
      </w:r>
    </w:p>
    <w:p>
      <w:pPr>
        <w:pStyle w:val="BodyText"/>
      </w:pPr>
      <w:r>
        <w:t xml:space="preserve">Ismaninger Straße 22</w:t>
      </w:r>
    </w:p>
    <w:p>
      <w:pPr>
        <w:pStyle w:val="BodyText"/>
      </w:pPr>
      <w:r>
        <w:t xml:space="preserve">81675 Munich, Germany</w:t>
      </w:r>
    </w:p>
    <w:p>
      <w:pPr>
        <w:pStyle w:val="BodyText"/>
      </w:pPr>
      <w:r>
        <w:t xml:space="preserve">Attn: Prof. Dr. Heinrich Vogel, Head of Medical Engineering</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Munich Biomedical Engineering Solutions GmbH in response to the formal request for proposal (RFP-2025-0312) submitted by TUM Klinikum Rechts der Isar. The purpose of this document is to provide a comprehensive, itemized cost breakdown for the engagement of a senior</w:t>
      </w:r>
      <w:r>
        <w:t xml:space="preserve"> </w:t>
      </w:r>
      <w:r>
        <w:t xml:space="preserve">Biomedical Engineer</w:t>
      </w:r>
      <w:r>
        <w:t xml:space="preserve"> </w:t>
      </w:r>
      <w:r>
        <w:t xml:space="preserve">to deliver specialized technical services within the</w:t>
      </w:r>
      <w:r>
        <w:t xml:space="preserve"> </w:t>
      </w:r>
      <w:r>
        <w:t xml:space="preserve">Germany Munich</w:t>
      </w:r>
      <w:r>
        <w:t xml:space="preserve"> </w:t>
      </w:r>
      <w:r>
        <w:t xml:space="preserve">metropolitan healthcare infrastructure. All pricing, deliverables, and service conditions outlined herein are binding for the validity period stated above, provided no material changes to the scope of work are requested by the client.</w:t>
      </w:r>
    </w:p>
    <w:bookmarkEnd w:id="21"/>
    <w:bookmarkStart w:id="22" w:name="X41d356dcca4eeab128ff1239bfb992aa6f4e5f8"/>
    <w:p>
      <w:pPr>
        <w:pStyle w:val="Heading2"/>
      </w:pPr>
      <w:r>
        <w:t xml:space="preserve">2. Professional Profile of the Biomedical Engineer</w:t>
      </w:r>
    </w:p>
    <w:p>
      <w:pPr>
        <w:pStyle w:val="FirstParagraph"/>
      </w:pPr>
      <w:r>
        <w:t xml:space="preserve">The</w:t>
      </w:r>
      <w:r>
        <w:t xml:space="preserve"> </w:t>
      </w:r>
      <w:r>
        <w:t xml:space="preserve">Biomedical Engineer</w:t>
      </w:r>
      <w:r>
        <w:t xml:space="preserve"> </w:t>
      </w:r>
      <w:r>
        <w:t xml:space="preserve">proposed for this engagement holds a Master of Science in Biomedical Engineering from the Technical University of Munich (TUM) and possesses over twelve years of professional experience in medical device maintenance, clinical engineering, and regulatory compliance within German hospitals. The engineer is fully certified under DIN EN ISO 13485 and holds a valid VDI 3661 qualification. Additionally, the</w:t>
      </w:r>
      <w:r>
        <w:t xml:space="preserve"> </w:t>
      </w:r>
      <w:r>
        <w:t xml:space="preserve">Biomedical Engineer</w:t>
      </w:r>
      <w:r>
        <w:t xml:space="preserve"> </w:t>
      </w:r>
      <w:r>
        <w:t xml:space="preserve">is registered with the Bayerische Ingenieurkammer and maintains professional liability insurance in accordance with German statutory requirements. The engineer's expertise encompasses imaging systems (MRI, CT, PET), patient monitoring equipment, surgical instrumentation, and laboratory automation platforms commonly deployed in tertiary care facilities in the</w:t>
      </w:r>
      <w:r>
        <w:t xml:space="preserve"> </w:t>
      </w:r>
      <w:r>
        <w:t xml:space="preserve">Germany Munich</w:t>
      </w:r>
      <w:r>
        <w:t xml:space="preserve"> </w:t>
      </w:r>
      <w:r>
        <w:t xml:space="preserve">region.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01</w:t>
            </w:r>
          </w:p>
        </w:tc>
        <w:tc>
          <w:tcPr/>
          <w:p>
            <w:pPr>
              <w:pStyle w:val="Compact"/>
              <w:jc w:val="left"/>
            </w:pPr>
            <w:r>
              <w:t xml:space="preserve">Comprehensive audit and condition assessment of all medical devices in the Cardiology and Neurology departments, including documentation per DIN EN ISO 15223-1</w:t>
            </w:r>
          </w:p>
        </w:tc>
        <w:tc>
          <w:tcPr/>
          <w:p>
            <w:pPr>
              <w:pStyle w:val="Compact"/>
              <w:jc w:val="left"/>
            </w:pPr>
            <w:r>
              <w:t xml:space="preserve">10 working days</w:t>
            </w:r>
          </w:p>
        </w:tc>
        <w:tc>
          <w:tcPr/>
          <w:p>
            <w:pPr>
              <w:pStyle w:val="Compact"/>
              <w:jc w:val="left"/>
            </w:pPr>
            <w:r>
              <w:t xml:space="preserve">€145.00 / hr</w:t>
            </w:r>
          </w:p>
        </w:tc>
        <w:tc>
          <w:tcPr/>
          <w:p>
            <w:pPr>
              <w:pStyle w:val="Compact"/>
              <w:jc w:val="left"/>
            </w:pPr>
            <w:r>
              <w:t xml:space="preserve">€23,200.00</w:t>
            </w:r>
          </w:p>
        </w:tc>
        <w:tc>
          <w:tcPr/>
          <w:p>
            <w:pPr>
              <w:pStyle w:val="Compact"/>
              <w:jc w:val="left"/>
            </w:pPr>
            <w:r>
              <w:t xml:space="preserve">€4,408.00</w:t>
            </w:r>
          </w:p>
        </w:tc>
      </w:tr>
      <w:tr>
        <w:tc>
          <w:tcPr/>
          <w:p>
            <w:pPr>
              <w:pStyle w:val="Compact"/>
              <w:jc w:val="left"/>
            </w:pPr>
            <w:r>
              <w:t xml:space="preserve">02</w:t>
            </w:r>
          </w:p>
        </w:tc>
        <w:tc>
          <w:tcPr/>
          <w:p>
            <w:pPr>
              <w:pStyle w:val="Compact"/>
              <w:jc w:val="left"/>
            </w:pPr>
            <w:r>
              <w:t xml:space="preserve">Preventive maintenance program design and implementation for 120+ medical devices, including calibration of patient monitors, infusion pumps, and ventilators</w:t>
            </w:r>
          </w:p>
        </w:tc>
        <w:tc>
          <w:tcPr/>
          <w:p>
            <w:pPr>
              <w:pStyle w:val="Compact"/>
              <w:jc w:val="left"/>
            </w:pPr>
            <w:r>
              <w:t xml:space="preserve">20 working days</w:t>
            </w:r>
          </w:p>
        </w:tc>
        <w:tc>
          <w:tcPr/>
          <w:p>
            <w:pPr>
              <w:pStyle w:val="Compact"/>
              <w:jc w:val="left"/>
            </w:pPr>
            <w:r>
              <w:t xml:space="preserve">€145.00 / hr</w:t>
            </w:r>
          </w:p>
        </w:tc>
        <w:tc>
          <w:tcPr/>
          <w:p>
            <w:pPr>
              <w:pStyle w:val="Compact"/>
              <w:jc w:val="left"/>
            </w:pPr>
            <w:r>
              <w:t xml:space="preserve">€46,400.00</w:t>
            </w:r>
          </w:p>
        </w:tc>
        <w:tc>
          <w:tcPr/>
          <w:p>
            <w:pPr>
              <w:pStyle w:val="Compact"/>
              <w:jc w:val="left"/>
            </w:pPr>
            <w:r>
              <w:t xml:space="preserve">€8,816.00</w:t>
            </w:r>
          </w:p>
        </w:tc>
      </w:tr>
      <w:tr>
        <w:tc>
          <w:tcPr/>
          <w:p>
            <w:pPr>
              <w:pStyle w:val="Compact"/>
              <w:jc w:val="left"/>
            </w:pPr>
            <w:r>
              <w:t xml:space="preserve">03</w:t>
            </w:r>
          </w:p>
        </w:tc>
        <w:tc>
          <w:tcPr/>
          <w:p>
            <w:pPr>
              <w:pStyle w:val="Compact"/>
              <w:jc w:val="left"/>
            </w:pPr>
            <w:r>
              <w:t xml:space="preserve">Regulatory compliance review and gap analysis in accordance with the German Medical Devices Act (MPDG) and MDR 2017/745, including preparation of corrective action reports</w:t>
            </w:r>
          </w:p>
        </w:tc>
        <w:tc>
          <w:tcPr/>
          <w:p>
            <w:pPr>
              <w:pStyle w:val="Compact"/>
              <w:jc w:val="left"/>
            </w:pPr>
            <w:r>
              <w:t xml:space="preserve">8 working days</w:t>
            </w:r>
          </w:p>
        </w:tc>
        <w:tc>
          <w:tcPr/>
          <w:p>
            <w:pPr>
              <w:pStyle w:val="Compact"/>
              <w:jc w:val="left"/>
            </w:pPr>
            <w:r>
              <w:t xml:space="preserve">€165.00 / hr</w:t>
            </w:r>
          </w:p>
        </w:tc>
        <w:tc>
          <w:tcPr/>
          <w:p>
            <w:pPr>
              <w:pStyle w:val="Compact"/>
              <w:jc w:val="left"/>
            </w:pPr>
            <w:r>
              <w:t xml:space="preserve">€10,560.00</w:t>
            </w:r>
          </w:p>
        </w:tc>
        <w:tc>
          <w:tcPr/>
          <w:p>
            <w:pPr>
              <w:pStyle w:val="Compact"/>
              <w:jc w:val="left"/>
            </w:pPr>
            <w:r>
              <w:t xml:space="preserve">€2,006.40</w:t>
            </w:r>
          </w:p>
        </w:tc>
      </w:tr>
      <w:tr>
        <w:tc>
          <w:tcPr/>
          <w:p>
            <w:pPr>
              <w:pStyle w:val="Compact"/>
              <w:jc w:val="left"/>
            </w:pPr>
            <w:r>
              <w:t xml:space="preserve">04</w:t>
            </w:r>
          </w:p>
        </w:tc>
        <w:tc>
          <w:tcPr/>
          <w:p>
            <w:pPr>
              <w:pStyle w:val="Compact"/>
              <w:jc w:val="left"/>
            </w:pPr>
            <w:r>
              <w:t xml:space="preserve">Training sessions for hospital technical staff (up to 25 participants) on device operation, troubleshooting, and safety protocols</w:t>
            </w:r>
          </w:p>
        </w:tc>
        <w:tc>
          <w:tcPr/>
          <w:p>
            <w:pPr>
              <w:pStyle w:val="Compact"/>
              <w:jc w:val="left"/>
            </w:pPr>
            <w:r>
              <w:t xml:space="preserve">5 days</w:t>
            </w:r>
          </w:p>
        </w:tc>
        <w:tc>
          <w:tcPr/>
          <w:p>
            <w:pPr>
              <w:pStyle w:val="Compact"/>
              <w:jc w:val="left"/>
            </w:pPr>
            <w:r>
              <w:t xml:space="preserve">€1,200.00 / day</w:t>
            </w:r>
          </w:p>
        </w:tc>
        <w:tc>
          <w:tcPr/>
          <w:p>
            <w:pPr>
              <w:pStyle w:val="Compact"/>
              <w:jc w:val="left"/>
            </w:pPr>
            <w:r>
              <w:t xml:space="preserve">€6,000.00</w:t>
            </w:r>
          </w:p>
        </w:tc>
        <w:tc>
          <w:tcPr/>
          <w:p>
            <w:pPr>
              <w:pStyle w:val="Compact"/>
              <w:jc w:val="left"/>
            </w:pPr>
            <w:r>
              <w:t xml:space="preserve">€1,140.00</w:t>
            </w:r>
          </w:p>
        </w:tc>
      </w:tr>
      <w:tr>
        <w:tc>
          <w:tcPr/>
          <w:p>
            <w:pPr>
              <w:pStyle w:val="Compact"/>
              <w:jc w:val="left"/>
            </w:pPr>
            <w:r>
              <w:t xml:space="preserve">05</w:t>
            </w:r>
          </w:p>
        </w:tc>
        <w:tc>
          <w:tcPr/>
          <w:p>
            <w:pPr>
              <w:pStyle w:val="Compact"/>
              <w:jc w:val="left"/>
            </w:pPr>
            <w:r>
              <w:t xml:space="preserve">On-call emergency support and rapid-response service for critical device failures (24/7 availability, response time under 4 hours within Munich city limits)</w:t>
            </w:r>
          </w:p>
        </w:tc>
        <w:tc>
          <w:tcPr/>
          <w:p>
            <w:pPr>
              <w:pStyle w:val="Compact"/>
              <w:jc w:val="left"/>
            </w:pPr>
            <w:r>
              <w:t xml:space="preserve">12 months</w:t>
            </w:r>
          </w:p>
        </w:tc>
        <w:tc>
          <w:tcPr/>
          <w:p>
            <w:pPr>
              <w:pStyle w:val="Compact"/>
              <w:jc w:val="left"/>
            </w:pPr>
            <w:r>
              <w:t xml:space="preserve">€2,800.00 / month</w:t>
            </w:r>
          </w:p>
        </w:tc>
        <w:tc>
          <w:tcPr/>
          <w:p>
            <w:pPr>
              <w:pStyle w:val="Compact"/>
              <w:jc w:val="left"/>
            </w:pPr>
            <w:r>
              <w:t xml:space="preserve">€33,600.00</w:t>
            </w:r>
          </w:p>
        </w:tc>
        <w:tc>
          <w:tcPr/>
          <w:p>
            <w:pPr>
              <w:pStyle w:val="Compact"/>
              <w:jc w:val="left"/>
            </w:pPr>
            <w:r>
              <w:t xml:space="preserve">€6,384.00</w:t>
            </w:r>
          </w:p>
        </w:tc>
      </w:tr>
      <w:tr>
        <w:tc>
          <w:tcPr/>
          <w:p>
            <w:pPr>
              <w:pStyle w:val="Compact"/>
              <w:jc w:val="left"/>
            </w:pPr>
            <w:r>
              <w:t xml:space="preserve">06</w:t>
            </w:r>
          </w:p>
        </w:tc>
        <w:tc>
          <w:tcPr/>
          <w:p>
            <w:pPr>
              <w:pStyle w:val="Compact"/>
              <w:jc w:val="left"/>
            </w:pPr>
            <w:r>
              <w:t xml:space="preserve">Quarterly progress reporting and stakeholder meetings with hospital administration, including written technical reports in German and English</w:t>
            </w:r>
          </w:p>
        </w:tc>
        <w:tc>
          <w:tcPr/>
          <w:p>
            <w:pPr>
              <w:pStyle w:val="Compact"/>
              <w:jc w:val="left"/>
            </w:pPr>
            <w:r>
              <w:t xml:space="preserve">4 sessions</w:t>
            </w:r>
          </w:p>
        </w:tc>
        <w:tc>
          <w:tcPr/>
          <w:p>
            <w:pPr>
              <w:pStyle w:val="Compact"/>
              <w:jc w:val="left"/>
            </w:pPr>
            <w:r>
              <w:t xml:space="preserve">€850.00 / session</w:t>
            </w:r>
          </w:p>
        </w:tc>
        <w:tc>
          <w:tcPr/>
          <w:p>
            <w:pPr>
              <w:pStyle w:val="Compact"/>
              <w:jc w:val="left"/>
            </w:pPr>
            <w:r>
              <w:t xml:space="preserve">€3,400.00</w:t>
            </w:r>
          </w:p>
        </w:tc>
        <w:tc>
          <w:tcPr/>
          <w:p>
            <w:pPr>
              <w:pStyle w:val="Compact"/>
              <w:jc w:val="left"/>
            </w:pPr>
            <w:r>
              <w:t xml:space="preserve">€646.00</w:t>
            </w:r>
          </w:p>
        </w:tc>
      </w:tr>
      <w:tr>
        <w:tc>
          <w:tcPr>
            <w:gridSpan w:val="4"/>
          </w:tcPr>
          <w:p>
            <w:pPr>
              <w:pStyle w:val="Compact"/>
              <w:jc w:val="left"/>
            </w:pPr>
            <w:r>
              <w:t xml:space="preserve">Subtotal (Net)</w:t>
            </w:r>
          </w:p>
        </w:tc>
        <w:tc>
          <w:tcPr/>
          <w:p>
            <w:pPr>
              <w:pStyle w:val="Compact"/>
              <w:jc w:val="left"/>
            </w:pPr>
            <w:r>
              <w:t xml:space="preserve">€123,160.00</w:t>
            </w:r>
          </w:p>
        </w:tc>
        <w:tc>
          <w:tcPr/>
          <w:p>
            <w:pPr>
              <w:pStyle w:val="Compact"/>
              <w:jc w:val="left"/>
            </w:pPr>
            <w:r>
              <w:t xml:space="preserve">€23,400.40</w:t>
            </w:r>
          </w:p>
        </w:tc>
      </w:tr>
      <w:tr>
        <w:tc>
          <w:tcPr>
            <w:gridSpan w:val="4"/>
          </w:tcPr>
          <w:p>
            <w:pPr>
              <w:pStyle w:val="Compact"/>
              <w:jc w:val="left"/>
            </w:pPr>
            <w:r>
              <w:rPr>
                <w:bCs/>
                <w:b/>
              </w:rPr>
              <w:t xml:space="preserve">Grand Total (Gross, incl. 19% VAT)</w:t>
            </w:r>
          </w:p>
        </w:tc>
        <w:tc>
          <w:tcPr>
            <w:gridSpan w:val="2"/>
          </w:tcPr>
          <w:p>
            <w:pPr>
              <w:pStyle w:val="Compact"/>
              <w:jc w:val="left"/>
            </w:pPr>
            <w:r>
              <w:rPr>
                <w:bCs/>
                <w:b/>
              </w:rPr>
              <w:t xml:space="preserve">€146,560.40</w:t>
            </w:r>
          </w:p>
        </w:tc>
      </w:tr>
    </w:tbl>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remains valid for a period of ninety (90) calendar days from the date of issue. After the expiry date, all rates and availability commitments are subject to re-evaluation and may be adjusted to reflect current market conditions in the</w:t>
      </w:r>
      <w:r>
        <w:t xml:space="preserve"> </w:t>
      </w:r>
      <w:r>
        <w:t xml:space="preserve">Germany Munich</w:t>
      </w:r>
      <w:r>
        <w:t xml:space="preserve"> </w:t>
      </w:r>
      <w:r>
        <w:t xml:space="preserve">engineering services sector.</w:t>
      </w:r>
    </w:p>
    <w:p>
      <w:pPr>
        <w:pStyle w:val="BodyText"/>
      </w:pPr>
      <w:r>
        <w:rPr>
          <w:bCs/>
          <w:b/>
        </w:rPr>
        <w:t xml:space="preserve">4.2 Payment Terms:</w:t>
      </w:r>
      <w:r>
        <w:t xml:space="preserve"> </w:t>
      </w:r>
      <w:r>
        <w:t xml:space="preserve">Invoicing shall be performed monthly in arrears. Payment is due within thirty (30) days of invoice date via SEPA bank transfer to the account specified on the invoice. A late payment interest of 8 percentage points above the ECB base rate applies in accordance with § 288 BGB.</w:t>
      </w:r>
    </w:p>
    <w:p>
      <w:pPr>
        <w:pStyle w:val="BodyText"/>
      </w:pPr>
      <w:r>
        <w:rPr>
          <w:bCs/>
          <w:b/>
        </w:rPr>
        <w:t xml:space="preserve">4.3 Scope Changes:</w:t>
      </w:r>
      <w:r>
        <w:t xml:space="preserve"> </w:t>
      </w:r>
      <w:r>
        <w:t xml:space="preserve">Any modification to the scope of work beyond the parameters defined in this</w:t>
      </w:r>
      <w:r>
        <w:t xml:space="preserve"> </w:t>
      </w:r>
      <w:r>
        <w:t xml:space="preserve">Quotation Estimate</w:t>
      </w:r>
      <w:r>
        <w:t xml:space="preserve"> </w:t>
      </w:r>
      <w:r>
        <w:t xml:space="preserve">must be agreed upon in writing by both parties. Additional services will be billed at the hourly rates specified in Section 3 or at mutually agreed-upon fixed prices.</w:t>
      </w:r>
    </w:p>
    <w:p>
      <w:pPr>
        <w:pStyle w:val="BodyText"/>
      </w:pPr>
      <w:r>
        <w:rPr>
          <w:bCs/>
          <w:b/>
        </w:rPr>
        <w:t xml:space="preserve">4.4 Confidentiality:</w:t>
      </w:r>
      <w:r>
        <w:t xml:space="preserve"> </w:t>
      </w:r>
      <w:r>
        <w:t xml:space="preserve">The</w:t>
      </w:r>
      <w:r>
        <w:t xml:space="preserve"> </w:t>
      </w:r>
      <w:r>
        <w:t xml:space="preserve">Biomedical Engineer</w:t>
      </w:r>
      <w:r>
        <w:t xml:space="preserve"> </w:t>
      </w:r>
      <w:r>
        <w:t xml:space="preserve">and Munich Biomedical Engineering Solutions GmbH shall maintain strict confidentiality regarding all patient data, hospital operational information, and proprietary technical documentation encountered during the engagement, in full compliance with the GDPR (DSGVO) and the German Federal Data Protection Act (BDSG).</w:t>
      </w:r>
    </w:p>
    <w:p>
      <w:pPr>
        <w:pStyle w:val="BodyText"/>
      </w:pPr>
      <w:r>
        <w:rPr>
          <w:bCs/>
          <w:b/>
        </w:rPr>
        <w:t xml:space="preserve">4.5 Liability and Insurance:</w:t>
      </w:r>
      <w:r>
        <w:t xml:space="preserve"> </w:t>
      </w:r>
      <w:r>
        <w:t xml:space="preserve">The</w:t>
      </w:r>
      <w:r>
        <w:t xml:space="preserve"> </w:t>
      </w:r>
      <w:r>
        <w:t xml:space="preserve">Biomedical Engineer</w:t>
      </w:r>
      <w:r>
        <w:t xml:space="preserve"> </w:t>
      </w:r>
      <w:r>
        <w:t xml:space="preserve">shall carry professional liability insurance with a minimum coverage of €5,000,000 per claim. Munich Biomedical Engineering Solutions GmbH assumes contractual liability in accordance with the German Civil Code (BGB) and the applicable provisions of the VOB/B where relevant.</w:t>
      </w:r>
    </w:p>
    <w:p>
      <w:pPr>
        <w:pStyle w:val="BodyText"/>
      </w:pPr>
      <w:r>
        <w:rPr>
          <w:bCs/>
          <w:b/>
        </w:rPr>
        <w:t xml:space="preserve">4.6 Governing Law and Jurisdiction:</w:t>
      </w:r>
      <w:r>
        <w:t xml:space="preserve"> </w:t>
      </w:r>
      <w:r>
        <w:t xml:space="preserve">This</w:t>
      </w:r>
      <w:r>
        <w:t xml:space="preserve"> </w:t>
      </w:r>
      <w:r>
        <w:t xml:space="preserve">Quotation Estimate</w:t>
      </w:r>
      <w:r>
        <w:t xml:space="preserve"> </w:t>
      </w:r>
      <w:r>
        <w:t xml:space="preserve">and any resulting contract shall be governed by the laws of the Federal Republic of Germany. The exclusive place of jurisdiction for any disputes arising herefrom shall be Munich, Germany.</w:t>
      </w:r>
    </w:p>
    <w:p>
      <w:pPr>
        <w:pStyle w:val="BodyText"/>
      </w:pPr>
      <w:r>
        <w:rPr>
          <w:bCs/>
          <w:b/>
        </w:rPr>
        <w:t xml:space="preserve">4.7 Health and Safety:</w:t>
      </w:r>
      <w:r>
        <w:t xml:space="preserve"> </w:t>
      </w:r>
      <w:r>
        <w:t xml:space="preserve">All work performed on-site shall comply with the German Occupational Safety and Health Act (ArbSchG) and the hospital's internal safety regulations. The</w:t>
      </w:r>
      <w:r>
        <w:t xml:space="preserve"> </w:t>
      </w:r>
      <w:r>
        <w:t xml:space="preserve">Biomedical Engineer</w:t>
      </w:r>
      <w:r>
        <w:t xml:space="preserve"> </w:t>
      </w:r>
      <w:r>
        <w:t xml:space="preserve">shall undergo the hospital's mandatory induction and safety briefing prior to commencing any on-site activity.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Munich Biomedical Engineering Solutions GmbH to proceed with the engagement of the specified</w:t>
      </w:r>
      <w:r>
        <w:t xml:space="preserve"> </w:t>
      </w:r>
      <w:r>
        <w:t xml:space="preserve">Biomedical Engineer</w:t>
      </w:r>
      <w:r>
        <w:t xml:space="preserve"> </w:t>
      </w:r>
      <w:r>
        <w:t xml:space="preserve">under the terms and conditions set forth in this document. This acceptance constitutes a binding order for the services described herein, to be executed at the client's facility in</w:t>
      </w:r>
      <w:r>
        <w:t xml:space="preserve"> </w:t>
      </w:r>
      <w:r>
        <w:t xml:space="preserve">Germany Munich</w:t>
      </w:r>
      <w:r>
        <w:t xml:space="preserve">.</w:t>
      </w:r>
    </w:p>
    <w:p>
      <w:pPr>
        <w:pStyle w:val="BodyText"/>
      </w:pPr>
      <w:r>
        <w:rPr>
          <w:bCs/>
          <w:b/>
        </w:rPr>
        <w:t xml:space="preserve">For Munich Biomedical Engineering Solutions GmbH</w:t>
      </w:r>
    </w:p>
    <w:p>
      <w:pPr>
        <w:pStyle w:val="BodyText"/>
      </w:pPr>
      <w:r>
        <w:t xml:space="preserve">Name: Dr. Katharina Brandt, Managing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TUM Klinikum Rechts der Isar (Client)</w:t>
      </w:r>
    </w:p>
    <w:p>
      <w:pPr>
        <w:pStyle w:val="BodyText"/>
      </w:pPr>
      <w:r>
        <w:t xml:space="preserve">Name: Prof. Dr. Heinrich Vogel</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was prepared by Munich Biomedical Engineering Solutions GmbH, Leopoldstraße 245, 80807 Munich, Germany.</w:t>
      </w:r>
    </w:p>
    <w:p>
      <w:pPr>
        <w:pStyle w:val="BodyText"/>
      </w:pPr>
      <w:r>
        <w:t xml:space="preserve">Document Reference: QTE-2025-BME-0487 | Page 1 of 1 | Generated: 15 June 2025</w:t>
      </w:r>
    </w:p>
    <w:p>
      <w:pPr>
        <w:pStyle w:val="BodyText"/>
      </w:pPr>
      <w:r>
        <w:t xml:space="preserve">© 2025 Munich Biomedical Engineering Solutions GmbH.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Germany Munich</dc:title>
  <dc:creator/>
  <dc:language>en</dc:language>
  <cp:keywords/>
  <dcterms:created xsi:type="dcterms:W3CDTF">2026-10-10T03:56:11Z</dcterms:created>
  <dcterms:modified xsi:type="dcterms:W3CDTF">2026-10-10T03:56:11Z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