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MediTech Biomedical Solutions Sdn. Bhd.</w:t>
      </w:r>
    </w:p>
    <w:p>
      <w:pPr>
        <w:pStyle w:val="BodyText"/>
      </w:pPr>
      <w:r>
        <w:t xml:space="preserve">Level 12, Menara Maxis, Jalan Tun Razak, 50400</w:t>
      </w:r>
      <w:r>
        <w:t xml:space="preserve"> </w:t>
      </w:r>
      <w:r>
        <w:t xml:space="preserve">Malaysia Kuala Lumpur</w:t>
      </w:r>
    </w:p>
    <w:p>
      <w:pPr>
        <w:pStyle w:val="BodyText"/>
      </w:pPr>
      <w:r>
        <w:t xml:space="preserve">Tel: +603-2181-8800 | Email: quotations@meditech-biomedical.my</w:t>
      </w:r>
    </w:p>
    <w:p>
      <w:pPr>
        <w:pStyle w:val="BodyText"/>
      </w:pPr>
      <w:r>
        <w:t xml:space="preserve">Company Reg. No: 201901045678 (K) | SST Reg. No: 0019-0123-4567</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QTE-BME-2025-00472</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Malaysian Ringgit (MYR / RM)</w:t>
            </w:r>
          </w:p>
        </w:tc>
      </w:tr>
      <w:tr>
        <w:tc>
          <w:tcPr/>
          <w:p>
            <w:pPr>
              <w:pStyle w:val="Compact"/>
              <w:jc w:val="left"/>
            </w:pPr>
            <w:r>
              <w:t xml:space="preserve">Prepared For</w:t>
            </w:r>
          </w:p>
        </w:tc>
        <w:tc>
          <w:tcPr>
            <w:gridSpan w:val="3"/>
          </w:tcPr>
          <w:p>
            <w:pPr>
              <w:pStyle w:val="Compact"/>
              <w:jc w:val="left"/>
            </w:pPr>
            <w:r>
              <w:rPr>
                <w:bCs/>
                <w:b/>
              </w:rPr>
              <w:t xml:space="preserve">Client:</w:t>
            </w:r>
            <w:r>
              <w:t xml:space="preserve"> </w:t>
            </w:r>
            <w:r>
              <w:t xml:space="preserve">Hospital Kuala Lumpur, Ministry of Health Malaysia</w:t>
            </w:r>
            <w:r>
              <w:br/>
            </w:r>
            <w:r>
              <w:rPr>
                <w:bCs/>
                <w:b/>
              </w:rPr>
              <w:t xml:space="preserve">Address:</w:t>
            </w:r>
            <w:r>
              <w:t xml:space="preserve"> </w:t>
            </w:r>
            <w:r>
              <w:t xml:space="preserve">Jalan Pahang, 50586</w:t>
            </w:r>
            <w:r>
              <w:t xml:space="preserve"> </w:t>
            </w:r>
            <w:r>
              <w:t xml:space="preserve">Malaysia Kuala Lumpur</w:t>
            </w:r>
            <w:r>
              <w:br/>
            </w:r>
            <w:r>
              <w:rPr>
                <w:bCs/>
                <w:b/>
              </w:rPr>
              <w:t xml:space="preserve">Attn:</w:t>
            </w:r>
            <w:r>
              <w:t xml:space="preserve"> </w:t>
            </w:r>
            <w:r>
              <w:t xml:space="preserve">Dr. Ahmad bin Ibrahim, Director of Medical Engineering</w:t>
            </w:r>
          </w:p>
        </w:tc>
      </w:tr>
      <w:tr>
        <w:tc>
          <w:tcPr/>
          <w:p>
            <w:pPr>
              <w:pStyle w:val="Compact"/>
              <w:jc w:val="left"/>
            </w:pPr>
            <w:r>
              <w:t xml:space="preserve">Prepared By</w:t>
            </w:r>
          </w:p>
        </w:tc>
        <w:tc>
          <w:tcPr>
            <w:gridSpan w:val="3"/>
          </w:tcPr>
          <w:p>
            <w:pPr>
              <w:pStyle w:val="Compact"/>
              <w:jc w:val="left"/>
            </w:pPr>
            <w:r>
              <w:rPr>
                <w:bCs/>
                <w:b/>
              </w:rPr>
              <w:t xml:space="preserve">Engineer:</w:t>
            </w:r>
            <w:r>
              <w:t xml:space="preserve"> </w:t>
            </w:r>
            <w:r>
              <w:t xml:space="preserve">P. Eng. Lim Wei Jian, Senior</w:t>
            </w:r>
            <w:r>
              <w:t xml:space="preserve"> </w:t>
            </w:r>
            <w:r>
              <w:t xml:space="preserve">Biomedical Engineer</w:t>
            </w:r>
            <w:r>
              <w:br/>
            </w:r>
            <w:r>
              <w:rPr>
                <w:bCs/>
                <w:b/>
              </w:rPr>
              <w:t xml:space="preserve">License No:</w:t>
            </w:r>
            <w:r>
              <w:t xml:space="preserve"> </w:t>
            </w:r>
            <w:r>
              <w:t xml:space="preserve">BME/MY/2018/0342 (Registered with BEM Malaysia)</w:t>
            </w:r>
          </w:p>
        </w:tc>
      </w:tr>
    </w:tbl>
    <w:p>
      <w:pPr>
        <w:pStyle w:val="BodyText"/>
      </w:pPr>
      <w:r>
        <w:t xml:space="preserve">1. Scope of Work – Biomedical Engineer Services</w:t>
      </w:r>
    </w:p>
    <w:p>
      <w:pPr>
        <w:pStyle w:val="BodyText"/>
      </w:pPr>
      <w:r>
        <w:t xml:space="preserve">This</w:t>
      </w:r>
      <w:r>
        <w:t xml:space="preserve"> </w:t>
      </w:r>
      <w:r>
        <w:t xml:space="preserve">Quotation Estimate</w:t>
      </w:r>
      <w:r>
        <w:t xml:space="preserve"> </w:t>
      </w:r>
      <w:r>
        <w:t xml:space="preserve">is issued by MediTech Biomedical Solutions Sdn. Bhd. to provide comprehensive professional services rendered by a qualified</w:t>
      </w:r>
      <w:r>
        <w:t xml:space="preserve"> </w:t>
      </w:r>
      <w:r>
        <w:t xml:space="preserve">Biomedical Engineer</w:t>
      </w:r>
      <w:r>
        <w:t xml:space="preserve"> </w:t>
      </w:r>
      <w:r>
        <w:t xml:space="preserve">for the installation, calibration, preventive maintenance, and regulatory compliance of medical imaging and diagnostic equipment at the client's facility located in</w:t>
      </w:r>
      <w:r>
        <w:t xml:space="preserve"> </w:t>
      </w:r>
      <w:r>
        <w:t xml:space="preserve">Malaysia Kuala Lumpur</w:t>
      </w:r>
      <w:r>
        <w:t xml:space="preserve">. The scope encompasses all activities required to ensure that the medical devices operate in full accordance with the Malaysian Medical Device Act 2012 (Act 741) and the guidelines set forth by the National Medical Device Authority (NMDA).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(RM)</w:t>
            </w:r>
          </w:p>
        </w:tc>
        <w:tc>
          <w:tcPr/>
          <w:p>
            <w:pPr>
              <w:pStyle w:val="Compact"/>
              <w:jc w:val="left"/>
            </w:pPr>
            <w:r>
              <w:t xml:space="preserve">Amount (RM)</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On-site assessment and risk analysis of 12 MRI and CT scanner units by a certified</w:t>
            </w:r>
            <w:r>
              <w:t xml:space="preserve"> </w:t>
            </w:r>
            <w:r>
              <w:t xml:space="preserve">Biomedical Engineer</w:t>
            </w:r>
            <w:r>
              <w:t xml:space="preserve">, including electromagnetic compatibility (EMC) testing and safety verification per IEC 60601-1 standards.</w:t>
            </w:r>
          </w:p>
        </w:tc>
        <w:tc>
          <w:tcPr/>
          <w:p>
            <w:pPr>
              <w:pStyle w:val="Compact"/>
              <w:jc w:val="left"/>
            </w:pPr>
            <w:r>
              <w:t xml:space="preserve">12 units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Preventive maintenance and calibration of 45 patient monitors, infusion pumps, and ventilators. The</w:t>
            </w:r>
            <w:r>
              <w:t xml:space="preserve"> </w:t>
            </w:r>
            <w:r>
              <w:t xml:space="preserve">Biomedical Engineer</w:t>
            </w:r>
            <w:r>
              <w:t xml:space="preserve"> </w:t>
            </w:r>
            <w:r>
              <w:t xml:space="preserve">will perform full functional testing, software firmware updates, and generate traceable calibration certificates.</w:t>
            </w:r>
          </w:p>
        </w:tc>
        <w:tc>
          <w:tcPr/>
          <w:p>
            <w:pPr>
              <w:pStyle w:val="Compact"/>
              <w:jc w:val="left"/>
            </w:pPr>
            <w:r>
              <w:t xml:space="preserve">45 units</w:t>
            </w:r>
          </w:p>
        </w:tc>
        <w:tc>
          <w:tcPr/>
          <w:p>
            <w:pPr>
              <w:pStyle w:val="Compact"/>
              <w:jc w:val="left"/>
            </w:pPr>
            <w:r>
              <w:t xml:space="preserve">1,200.00</w:t>
            </w:r>
          </w:p>
        </w:tc>
        <w:tc>
          <w:tcPr/>
          <w:p>
            <w:pPr>
              <w:pStyle w:val="Compact"/>
              <w:jc w:val="left"/>
            </w:pPr>
            <w:r>
              <w:t xml:space="preserve">54,000.00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Installation and commissioning of 2 new digital X-ray radiography systems, including mechanical mounting, electrical connection, image quality verification, and NMDA registration support in</w:t>
            </w:r>
            <w:r>
              <w:t xml:space="preserve"> </w:t>
            </w:r>
            <w:r>
              <w:t xml:space="preserve">Malaysia Kuala Lumpur</w:t>
            </w:r>
            <w:r>
              <w:t xml:space="preserve">.</w:t>
            </w:r>
          </w:p>
        </w:tc>
        <w:tc>
          <w:tcPr/>
          <w:p>
            <w:pPr>
              <w:pStyle w:val="Compact"/>
              <w:jc w:val="left"/>
            </w:pPr>
            <w:r>
              <w:t xml:space="preserve">2 units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Development of a comprehensive biomedical engineering maintenance management system (BME-MS) with digital asset tracking, work-order management, and automated compliance reporting for the hospital's engineering department.</w:t>
            </w:r>
          </w:p>
        </w:tc>
        <w:tc>
          <w:tcPr/>
          <w:p>
            <w:pPr>
              <w:pStyle w:val="Compact"/>
              <w:jc w:val="left"/>
            </w:pPr>
            <w:r>
              <w:t xml:space="preserve">1 system</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6 weeks</w:t>
            </w:r>
          </w:p>
        </w:tc>
      </w:tr>
      <w:tr>
        <w:tc>
          <w:tcPr/>
          <w:p>
            <w:pPr>
              <w:pStyle w:val="Compact"/>
              <w:jc w:val="left"/>
            </w:pPr>
            <w:r>
              <w:t xml:space="preserve">5</w:t>
            </w:r>
          </w:p>
        </w:tc>
        <w:tc>
          <w:tcPr/>
          <w:p>
            <w:pPr>
              <w:pStyle w:val="Compact"/>
              <w:jc w:val="left"/>
            </w:pPr>
            <w:r>
              <w:t xml:space="preserve">Training programme for 20 in-house biomedical technicians and junior engineers. Delivered by a senior</w:t>
            </w:r>
            <w:r>
              <w:t xml:space="preserve"> </w:t>
            </w:r>
            <w:r>
              <w:t xml:space="preserve">Biomedical Engineer</w:t>
            </w:r>
            <w:r>
              <w:t xml:space="preserve"> </w:t>
            </w:r>
            <w:r>
              <w:t xml:space="preserve">covering topics on IEC 62353 (biological evaluation), ISO 13485 quality management, and troubleshooting protocols specific to the installed equipment.</w:t>
            </w:r>
          </w:p>
        </w:tc>
        <w:tc>
          <w:tcPr/>
          <w:p>
            <w:pPr>
              <w:pStyle w:val="Compact"/>
              <w:jc w:val="left"/>
            </w:pPr>
            <w:r>
              <w:t xml:space="preserve">20 pax</w:t>
            </w:r>
          </w:p>
        </w:tc>
        <w:tc>
          <w:tcPr/>
          <w:p>
            <w:pPr>
              <w:pStyle w:val="Compact"/>
              <w:jc w:val="left"/>
            </w:pPr>
            <w:r>
              <w:t xml:space="preserve">850.00</w:t>
            </w:r>
          </w:p>
        </w:tc>
        <w:tc>
          <w:tcPr/>
          <w:p>
            <w:pPr>
              <w:pStyle w:val="Compact"/>
              <w:jc w:val="left"/>
            </w:pPr>
            <w:r>
              <w:t xml:space="preserve">17,000.00</w:t>
            </w:r>
          </w:p>
        </w:tc>
        <w:tc>
          <w:tcPr/>
          <w:p>
            <w:pPr>
              <w:pStyle w:val="Compact"/>
              <w:jc w:val="left"/>
            </w:pPr>
            <w:r>
              <w:t xml:space="preserve">5 days</w:t>
            </w:r>
          </w:p>
        </w:tc>
      </w:tr>
      <w:tr>
        <w:tc>
          <w:tcPr/>
          <w:p>
            <w:pPr>
              <w:pStyle w:val="Compact"/>
              <w:jc w:val="left"/>
            </w:pPr>
            <w:r>
              <w:t xml:space="preserve">6</w:t>
            </w:r>
          </w:p>
        </w:tc>
        <w:tc>
          <w:tcPr/>
          <w:p>
            <w:pPr>
              <w:pStyle w:val="Compact"/>
              <w:jc w:val="left"/>
            </w:pPr>
            <w:r>
              <w:t xml:space="preserve">Annual retainer for emergency call-out and ad-hoc repair services. A dedicated</w:t>
            </w:r>
            <w:r>
              <w:t xml:space="preserve"> </w:t>
            </w:r>
            <w:r>
              <w:t xml:space="preserve">Biomedical Engineer</w:t>
            </w:r>
            <w:r>
              <w:t xml:space="preserve"> </w:t>
            </w:r>
            <w:r>
              <w:t xml:space="preserve">will be on standby 24/7 with a guaranteed response time of 4 hours for critical equipment failures at the</w:t>
            </w:r>
            <w:r>
              <w:t xml:space="preserve"> </w:t>
            </w:r>
            <w:r>
              <w:t xml:space="preserve">Malaysia Kuala Lumpur</w:t>
            </w:r>
            <w:r>
              <w:t xml:space="preserve"> </w:t>
            </w:r>
            <w:r>
              <w:t xml:space="preserve">site.</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Regulatory documentation and NMDA submission support for all newly installed and modified medical devices, including technical files, risk management documentation (ISO 14971), and post-market surveillance reports.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4 weeks</w:t>
            </w:r>
          </w:p>
        </w:tc>
      </w:tr>
      <w:tr>
        <w:tc>
          <w:tcPr>
            <w:gridSpan w:val="4"/>
          </w:tcPr>
          <w:p>
            <w:pPr>
              <w:pStyle w:val="Compact"/>
              <w:jc w:val="left"/>
            </w:pPr>
            <w:r>
              <w:t xml:space="preserve">Subtotal</w:t>
            </w:r>
          </w:p>
        </w:tc>
        <w:tc>
          <w:tcPr/>
          <w:p>
            <w:pPr>
              <w:pStyle w:val="Compact"/>
              <w:jc w:val="left"/>
            </w:pPr>
            <w:r>
              <w:t xml:space="preserve">RM 297,000.00</w:t>
            </w:r>
          </w:p>
        </w:tc>
        <w:tc>
          <w:tcPr/>
          <w:p>
            <w:pPr>
              <w:pStyle w:val="Compact"/>
            </w:pPr>
          </w:p>
        </w:tc>
      </w:tr>
      <w:tr>
        <w:tc>
          <w:tcPr>
            <w:gridSpan w:val="4"/>
          </w:tcPr>
          <w:p>
            <w:pPr>
              <w:pStyle w:val="Compact"/>
              <w:jc w:val="left"/>
            </w:pPr>
            <w:r>
              <w:t xml:space="preserve">SST @ 8%</w:t>
            </w:r>
          </w:p>
        </w:tc>
        <w:tc>
          <w:tcPr/>
          <w:p>
            <w:pPr>
              <w:pStyle w:val="Compact"/>
              <w:jc w:val="left"/>
            </w:pPr>
            <w:r>
              <w:t xml:space="preserve">RM 23,760.00</w:t>
            </w:r>
          </w:p>
        </w:tc>
        <w:tc>
          <w:tcPr/>
          <w:p>
            <w:pPr>
              <w:pStyle w:val="Compact"/>
            </w:pPr>
          </w:p>
        </w:tc>
      </w:tr>
      <w:tr>
        <w:tc>
          <w:tcPr>
            <w:gridSpan w:val="4"/>
          </w:tcPr>
          <w:p>
            <w:pPr>
              <w:pStyle w:val="Compact"/>
              <w:jc w:val="left"/>
            </w:pPr>
            <w:r>
              <w:rPr>
                <w:bCs/>
                <w:b/>
              </w:rPr>
              <w:t xml:space="preserve">TOTAL (RM)</w:t>
            </w:r>
          </w:p>
        </w:tc>
        <w:tc>
          <w:tcPr/>
          <w:p>
            <w:pPr>
              <w:pStyle w:val="Compact"/>
              <w:jc w:val="left"/>
            </w:pPr>
            <w:r>
              <w:rPr>
                <w:bCs/>
                <w:b/>
              </w:rPr>
              <w:t xml:space="preserve">RM 320,760.00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quoted in Malaysian Ringgit (MYR) and are inclusive of all travel, accommodation, and logistics costs within the</w:t>
      </w:r>
      <w:r>
        <w:t xml:space="preserve"> </w:t>
      </w:r>
      <w:r>
        <w:t xml:space="preserve">Malaysia Kuala Lumpur</w:t>
      </w:r>
      <w:r>
        <w:t xml:space="preserve"> </w:t>
      </w:r>
      <w:r>
        <w:t xml:space="preserve">metropolitan area.</w:t>
      </w:r>
    </w:p>
    <w:p>
      <w:pPr>
        <w:numPr>
          <w:ilvl w:val="0"/>
          <w:numId w:val="1001"/>
        </w:numPr>
        <w:pStyle w:val="Compact"/>
      </w:pPr>
      <w:r>
        <w:t xml:space="preserve">Payment terms: 30% advance payment upon acceptance of this quotation, 40% upon completion of on-site installation and calibration works, and 30% upon final acceptance and handover of all documentation. Payment is due within fourteen (14) days of invoice date.</w:t>
      </w:r>
    </w:p>
    <w:p>
      <w:pPr>
        <w:numPr>
          <w:ilvl w:val="0"/>
          <w:numId w:val="1001"/>
        </w:numPr>
        <w:pStyle w:val="Compact"/>
      </w:pPr>
      <w:r>
        <w:t xml:space="preserve">All services will be performed by a licensed</w:t>
      </w:r>
      <w:r>
        <w:t xml:space="preserve"> </w:t>
      </w:r>
      <w:r>
        <w:t xml:space="preserve">Biomedical Engineer</w:t>
      </w:r>
      <w:r>
        <w:t xml:space="preserve"> </w:t>
      </w:r>
      <w:r>
        <w:t xml:space="preserve">registered with the Biomedical Engineering Society of Malaysia (BEM) and holding a valid professional practice certificate issued by the relevant Malaysian regulatory body.</w:t>
      </w:r>
    </w:p>
    <w:p>
      <w:pPr>
        <w:numPr>
          <w:ilvl w:val="0"/>
          <w:numId w:val="1001"/>
        </w:numPr>
        <w:pStyle w:val="Compact"/>
      </w:pPr>
      <w:r>
        <w:t xml:space="preserve">The</w:t>
      </w:r>
      <w:r>
        <w:t xml:space="preserve"> </w:t>
      </w:r>
      <w:r>
        <w:t xml:space="preserve">Biomedical Engineer</w:t>
      </w:r>
      <w:r>
        <w:t xml:space="preserve"> </w:t>
      </w:r>
      <w:r>
        <w:t xml:space="preserve">assigned to this project shall comply with all occupational health and safety requirements under the Occupational Safety and Health Act 1994 (OSHA) as applicable in</w:t>
      </w:r>
      <w:r>
        <w:t xml:space="preserve"> </w:t>
      </w:r>
      <w:r>
        <w:t xml:space="preserve">Malaysia Kuala Lumpur</w:t>
      </w:r>
      <w:r>
        <w:t xml:space="preserve">.</w:t>
      </w:r>
    </w:p>
    <w:p>
      <w:pPr>
        <w:numPr>
          <w:ilvl w:val="0"/>
          <w:numId w:val="1001"/>
        </w:numPr>
        <w:pStyle w:val="Compact"/>
      </w:pPr>
      <w:r>
        <w:t xml:space="preserve">Warranty: All calibration and repair work is covered by a twelve (12) month warranty from the date of completion. The BME-MS software carries a two (2) year warranty including software updates.</w:t>
      </w:r>
    </w:p>
    <w:p>
      <w:pPr>
        <w:numPr>
          <w:ilvl w:val="0"/>
          <w:numId w:val="1001"/>
        </w:numPr>
        <w:pStyle w:val="Compact"/>
      </w:pPr>
      <w:r>
        <w:t xml:space="preserve">Any additional work or scope changes beyond the items listed in this</w:t>
      </w:r>
      <w:r>
        <w:t xml:space="preserve"> </w:t>
      </w:r>
      <w:r>
        <w:t xml:space="preserve">Quotation Estimate</w:t>
      </w:r>
      <w:r>
        <w:t xml:space="preserve"> </w:t>
      </w:r>
      <w:r>
        <w:t xml:space="preserve">will be subject to a separate written amendment and additional cost approval by both parties.</w:t>
      </w:r>
    </w:p>
    <w:p>
      <w:pPr>
        <w:numPr>
          <w:ilvl w:val="0"/>
          <w:numId w:val="1001"/>
        </w:numPr>
        <w:pStyle w:val="Compact"/>
      </w:pPr>
      <w:r>
        <w:t xml:space="preserve">Confidentiality: All patient data, hospital operational information, and proprietary technical documents encountered during the engagement shall be treated as strictly confidential in accordance with the Personal Data Protection Act 2010 (PDPA) of Malaysia.</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or pandemics affecting operations in</w:t>
      </w:r>
      <w:r>
        <w:t xml:space="preserve"> </w:t>
      </w:r>
      <w:r>
        <w:t xml:space="preserve">Malaysia Kuala Lumpur</w:t>
      </w:r>
      <w:r>
        <w:t xml:space="preserve">.</w:t>
      </w:r>
    </w:p>
    <w:p>
      <w:pPr>
        <w:numPr>
          <w:ilvl w:val="0"/>
          <w:numId w:val="1001"/>
        </w:numPr>
        <w:pStyle w:val="Compact"/>
      </w:pPr>
      <w:r>
        <w:t xml:space="preserve">Governing Law: This agreement shall be governed by and construed in accordance with the laws of Malaysia. Any disputes shall be resolved through arbitration in Kuala Lumpur in accordance with the rules of the Asian International Arbitration Centre (AIAC).</w:t>
      </w:r>
    </w:p>
    <w:p>
      <w:pPr>
        <w:pStyle w:val="FirstParagraph"/>
      </w:pPr>
      <w:r>
        <w:t xml:space="preserve">4. 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Biomedical Engineer</w:t>
      </w:r>
      <w:r>
        <w:t xml:space="preserve"> </w:t>
      </w:r>
      <w:r>
        <w:t xml:space="preserve">services to be delivered at the designated facility in</w:t>
      </w:r>
      <w:r>
        <w:t xml:space="preserve"> </w:t>
      </w:r>
      <w:r>
        <w:t xml:space="preserve">Malaysia Kuala Lumpur</w:t>
      </w:r>
      <w:r>
        <w:t xml:space="preserve">.</w:t>
      </w:r>
    </w:p>
    <w:p>
      <w:pPr>
        <w:pStyle w:val="BodyText"/>
      </w:pPr>
      <w:r>
        <w:rPr>
          <w:bCs/>
          <w:b/>
        </w:rPr>
        <w:t xml:space="preserve">For and on behalf of MediTech Biomedical Solutions Sdn. Bhd.</w:t>
      </w:r>
      <w:r>
        <w:br/>
      </w:r>
      <w:r>
        <w:t xml:space="preserve">Name: P. Eng. Lim Wei Jian</w:t>
      </w:r>
      <w:r>
        <w:br/>
      </w:r>
      <w:r>
        <w:t xml:space="preserve">Designation: Senior Biomedical Engineer / Project Lead</w:t>
      </w:r>
      <w:r>
        <w:br/>
      </w:r>
      <w:r>
        <w:t xml:space="preserve">Date: _______________</w:t>
      </w:r>
    </w:p>
    <w:p>
      <w:pPr>
        <w:pStyle w:val="BodyText"/>
      </w:pPr>
      <w:r>
        <w:rPr>
          <w:bCs/>
          <w:b/>
        </w:rPr>
        <w:t xml:space="preserve">For and on behalf of Hospital Kuala Lumpur</w:t>
      </w:r>
      <w:r>
        <w:br/>
      </w:r>
      <w:r>
        <w:t xml:space="preserve">Name: Dr. Ahmad bin Ibrahim</w:t>
      </w:r>
      <w:r>
        <w:br/>
      </w:r>
      <w:r>
        <w:t xml:space="preserve">Designation: Director of Medical Engineering</w:t>
      </w:r>
      <w:r>
        <w:br/>
      </w:r>
      <w:r>
        <w:t xml:space="preserve">Date: _______________</w:t>
      </w:r>
    </w:p>
    <w:p>
      <w:pPr>
        <w:pStyle w:val="BodyText"/>
      </w:pPr>
      <w:r>
        <w:rPr>
          <w:bCs/>
          <w:b/>
        </w:rPr>
        <w:t xml:space="preserve">Note:</w:t>
      </w:r>
      <w:r>
        <w:t xml:space="preserve"> </w:t>
      </w:r>
      <w:r>
        <w:t xml:space="preserve">This Quotation Estimate is a formal commercial document issued by MediTech Biomedical Solutions Sdn. Bhd., a registered company in Malaysia Kuala Lumpur. All services described herein are to be performed by a qualified Biomedical Engineer in compliance with Malaysian statutory requirements. This document does not constitute a binding contract until countersigned by both parties and the advance payment has been received. For queries regarding this quotation, please contact our office at +603-2181-8800 or quotations@meditech-biomedical.my.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Malaysia Kuala Lumpur</dc:title>
  <dc:creator/>
  <dc:language>en</dc:language>
  <cp:keywords/>
  <dcterms:created xsi:type="dcterms:W3CDTF">2026-10-10T04:06:20Z</dcterms:created>
  <dcterms:modified xsi:type="dcterms:W3CDTF">2026-10-10T04:06:20Z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