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Biomedical</w:t>
      </w:r>
      <w:r>
        <w:t xml:space="preserve"> </w:t>
      </w:r>
      <w:r>
        <w:t xml:space="preserve">Engineer</w:t>
      </w:r>
      <w:r>
        <w:t xml:space="preserve"> </w:t>
      </w:r>
      <w:r>
        <w:t xml:space="preserve">Services</w:t>
      </w:r>
      <w:r>
        <w:t xml:space="preserve"> </w:t>
      </w:r>
      <w:r>
        <w:t xml:space="preserve">-</w:t>
      </w:r>
      <w:r>
        <w:t xml:space="preserve"> </w:t>
      </w:r>
      <w:r>
        <w:t xml:space="preserve">Morocco</w:t>
      </w:r>
      <w:r>
        <w:t xml:space="preserve"> </w:t>
      </w:r>
      <w:r>
        <w:t xml:space="preserve">Casablanca</w:t>
      </w:r>
    </w:p>
    <w:bookmarkStart w:id="20" w:name="quotation-estimate"/>
    <w:p>
      <w:pPr>
        <w:pStyle w:val="Heading1"/>
      </w:pPr>
      <w:r>
        <w:t xml:space="preserve">Quotation Estimate</w:t>
      </w:r>
    </w:p>
    <w:p>
      <w:pPr>
        <w:pStyle w:val="FirstParagraph"/>
      </w:pPr>
      <w:r>
        <w:rPr>
          <w:bCs/>
          <w:b/>
        </w:rPr>
        <w:t xml:space="preserve">MedTech Solutions Casablanca SARL</w:t>
      </w:r>
    </w:p>
    <w:p>
      <w:pPr>
        <w:pStyle w:val="BodyText"/>
      </w:pPr>
      <w:r>
        <w:t xml:space="preserve">12, Boulevard Mohammed V, Quartier Gauthier, 20250 Casablanca, Morocco</w:t>
      </w:r>
    </w:p>
    <w:p>
      <w:pPr>
        <w:pStyle w:val="BodyText"/>
      </w:pPr>
      <w:r>
        <w:t xml:space="preserve">Tel: +212 522-345-678 | Email: quotes@medtechcasablanca.ma</w:t>
      </w:r>
    </w:p>
    <w:p>
      <w:pPr>
        <w:pStyle w:val="BodyText"/>
      </w:pPr>
      <w:r>
        <w:t xml:space="preserve">RC: 456789 Casablanca | ICE: 002345678000091 | IF: 45678901</w:t>
      </w:r>
    </w:p>
    <w:bookmarkEnd w:id="20"/>
    <w:bookmarkStart w:id="21" w:name="quotation-details"/>
    <w:p>
      <w:pPr>
        <w:pStyle w:val="Heading3"/>
      </w:pPr>
      <w:r>
        <w:t xml:space="preserve">Quotation Details</w:t>
      </w:r>
    </w:p>
    <w:p>
      <w:pPr>
        <w:pStyle w:val="FirstParagraph"/>
      </w:pPr>
      <w:r>
        <w:rPr>
          <w:bCs/>
          <w:b/>
        </w:rPr>
        <w:t xml:space="preserve">Quotation Estimate No.:</w:t>
      </w:r>
      <w:r>
        <w:t xml:space="preserve"> </w:t>
      </w:r>
      <w:r>
        <w:t xml:space="preserve">QTE-2025-0847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Prepared For:</w:t>
      </w:r>
      <w:r>
        <w:t xml:space="preserve"> </w:t>
      </w:r>
      <w:r>
        <w:t xml:space="preserve">Clinique Al Amal, Casablanca</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Clinique Al Amal</w:t>
      </w:r>
    </w:p>
    <w:p>
      <w:pPr>
        <w:pStyle w:val="BodyText"/>
      </w:pPr>
      <w:r>
        <w:rPr>
          <w:bCs/>
          <w:b/>
        </w:rPr>
        <w:t xml:space="preserve">Address:</w:t>
      </w:r>
      <w:r>
        <w:t xml:space="preserve"> </w:t>
      </w:r>
      <w:r>
        <w:t xml:space="preserve">45, Avenue Hassan II, 20100 Casablanca, Morocco</w:t>
      </w:r>
    </w:p>
    <w:p>
      <w:pPr>
        <w:pStyle w:val="BodyText"/>
      </w:pPr>
      <w:r>
        <w:rPr>
          <w:bCs/>
          <w:b/>
        </w:rPr>
        <w:t xml:space="preserve">Contact Person:</w:t>
      </w:r>
      <w:r>
        <w:t xml:space="preserve"> </w:t>
      </w:r>
      <w:r>
        <w:t xml:space="preserve">Dr. Youssef Benali, Director</w:t>
      </w:r>
    </w:p>
    <w:p>
      <w:pPr>
        <w:pStyle w:val="BodyText"/>
      </w:pPr>
      <w:r>
        <w:rPr>
          <w:bCs/>
          <w:b/>
        </w:rPr>
        <w:t xml:space="preserve">Phone:</w:t>
      </w:r>
      <w:r>
        <w:t xml:space="preserve"> </w:t>
      </w:r>
      <w:r>
        <w:t xml:space="preserve">+212 522-987-654</w:t>
      </w:r>
    </w:p>
    <w:bookmarkEnd w:id="22"/>
    <w:p>
      <w:pPr>
        <w:pStyle w:val="BodyText"/>
      </w:pPr>
      <w:r>
        <w:t xml:space="preserve">1. Purpose and Scope of the Quotation Estimate</w:t>
      </w:r>
    </w:p>
    <w:p>
      <w:pPr>
        <w:pStyle w:val="BodyText"/>
      </w:pPr>
      <w:r>
        <w:t xml:space="preserve">This</w:t>
      </w:r>
      <w:r>
        <w:t xml:space="preserve"> </w:t>
      </w:r>
      <w:r>
        <w:t xml:space="preserve">Quotation Estimate</w:t>
      </w:r>
      <w:r>
        <w:t xml:space="preserve"> </w:t>
      </w:r>
      <w:r>
        <w:t xml:space="preserve">is formally issued by MedTech Solutions Casablanca SARL to Clinique Al Amal regarding the provision of specialized</w:t>
      </w:r>
      <w:r>
        <w:t xml:space="preserve"> </w:t>
      </w:r>
      <w:r>
        <w:t xml:space="preserve">Biomedical Engineer</w:t>
      </w:r>
      <w:r>
        <w:t xml:space="preserve"> </w:t>
      </w:r>
      <w:r>
        <w:t xml:space="preserve">services for the installation, calibration, maintenance, and regulatory compliance of medical equipment within the clinic's facilities located in</w:t>
      </w:r>
      <w:r>
        <w:t xml:space="preserve"> </w:t>
      </w:r>
      <w:r>
        <w:t xml:space="preserve">Morocco Casablanca</w:t>
      </w:r>
      <w:r>
        <w:t xml:space="preserve">. This document outlines the complete scope of work, associated costs, timelines, and contractual terms governing the engagement of our certified</w:t>
      </w:r>
      <w:r>
        <w:t xml:space="preserve"> </w:t>
      </w:r>
      <w:r>
        <w:t xml:space="preserve">Biomedical Engineer</w:t>
      </w:r>
      <w:r>
        <w:t xml:space="preserve"> </w:t>
      </w:r>
      <w:r>
        <w:t xml:space="preserve">team. The services described herein are tailored to meet the specific operational requirements of a multi-specialty clinic in the Casablanca metropolitan area and comply with all applicable Moroccan regulatory standards, including those set forth by the Ministry of Health of Morocco and the Moroccan Agency for Standardization (NORMA).</w:t>
      </w:r>
    </w:p>
    <w:p>
      <w:pPr>
        <w:pStyle w:val="BodyText"/>
      </w:pPr>
      <w:r>
        <w:t xml:space="preserve">2. Detailed Scope of Services – Biomedical Engineer Engagement</w:t>
      </w:r>
    </w:p>
    <w:p>
      <w:pPr>
        <w:pStyle w:val="BodyText"/>
      </w:pPr>
      <w:r>
        <w:t xml:space="preserve">The</w:t>
      </w:r>
      <w:r>
        <w:t xml:space="preserve"> </w:t>
      </w:r>
      <w:r>
        <w:t xml:space="preserve">Biomedical Engineer</w:t>
      </w:r>
      <w:r>
        <w:t xml:space="preserve"> </w:t>
      </w:r>
      <w:r>
        <w:t xml:space="preserve">services encompassed in this</w:t>
      </w:r>
      <w:r>
        <w:t xml:space="preserve"> </w:t>
      </w:r>
      <w:r>
        <w:t xml:space="preserve">Quotation Estimate</w:t>
      </w:r>
      <w:r>
        <w:t xml:space="preserve"> </w:t>
      </w:r>
      <w:r>
        <w:t xml:space="preserve">include the following comprehensive deliverables:</w:t>
      </w:r>
    </w:p>
    <w:p>
      <w:pPr>
        <w:numPr>
          <w:ilvl w:val="0"/>
          <w:numId w:val="1001"/>
        </w:numPr>
        <w:pStyle w:val="Compact"/>
      </w:pPr>
      <w:r>
        <w:rPr>
          <w:bCs/>
          <w:b/>
        </w:rPr>
        <w:t xml:space="preserve">Equipment Inventory and Assessment:</w:t>
      </w:r>
      <w:r>
        <w:t xml:space="preserve"> </w:t>
      </w:r>
      <w:r>
        <w:t xml:space="preserve">A full audit of all existing medical devices (diagnostic imaging, laboratory analyzers, surgical instruments, patient monitoring systems, and life-support equipment) currently installed at the Casablanca facility. The</w:t>
      </w:r>
      <w:r>
        <w:t xml:space="preserve"> </w:t>
      </w:r>
      <w:r>
        <w:t xml:space="preserve">Biomedical Engineer</w:t>
      </w:r>
      <w:r>
        <w:t xml:space="preserve"> </w:t>
      </w:r>
      <w:r>
        <w:t xml:space="preserve">will document the operational status, firmware versions, and compliance certifications of each unit.</w:t>
      </w:r>
    </w:p>
    <w:p>
      <w:pPr>
        <w:numPr>
          <w:ilvl w:val="0"/>
          <w:numId w:val="1001"/>
        </w:numPr>
        <w:pStyle w:val="Compact"/>
      </w:pPr>
      <w:r>
        <w:rPr>
          <w:bCs/>
          <w:b/>
        </w:rPr>
        <w:t xml:space="preserve">Installation and Commissioning:</w:t>
      </w:r>
      <w:r>
        <w:t xml:space="preserve"> </w:t>
      </w:r>
      <w:r>
        <w:t xml:space="preserve">Professional installation of 14 newly procured medical devices, including 2 digital X-ray units, 4 ultrasound systems, 3 automated hematology analyzers, 2 ECG machines, and 3 patient vital-sign monitors. All installations will be performed in strict accordance with the manufacturer's specifications and Moroccan electrical safety codes.</w:t>
      </w:r>
    </w:p>
    <w:p>
      <w:pPr>
        <w:numPr>
          <w:ilvl w:val="0"/>
          <w:numId w:val="1001"/>
        </w:numPr>
        <w:pStyle w:val="Compact"/>
      </w:pPr>
      <w:r>
        <w:rPr>
          <w:bCs/>
          <w:b/>
        </w:rPr>
        <w:t xml:space="preserve">Calibration and Performance Verification:</w:t>
      </w:r>
      <w:r>
        <w:t xml:space="preserve"> </w:t>
      </w:r>
      <w:r>
        <w:t xml:space="preserve">Precision calibration of all diagnostic and therapeutic equipment to ensure measurement accuracy within ISO 13485 and IEC 60601-1 tolerances. The</w:t>
      </w:r>
      <w:r>
        <w:t xml:space="preserve"> </w:t>
      </w:r>
      <w:r>
        <w:t xml:space="preserve">Biomedical Engineer</w:t>
      </w:r>
      <w:r>
        <w:t xml:space="preserve"> </w:t>
      </w:r>
      <w:r>
        <w:t xml:space="preserve">will issue individual calibration certificates for each device.</w:t>
      </w:r>
    </w:p>
    <w:p>
      <w:pPr>
        <w:numPr>
          <w:ilvl w:val="0"/>
          <w:numId w:val="1001"/>
        </w:numPr>
        <w:pStyle w:val="Compact"/>
      </w:pPr>
      <w:r>
        <w:rPr>
          <w:bCs/>
          <w:b/>
        </w:rPr>
        <w:t xml:space="preserve">Preventive Maintenance Program Design:</w:t>
      </w:r>
      <w:r>
        <w:t xml:space="preserve"> </w:t>
      </w:r>
      <w:r>
        <w:t xml:space="preserve">Development and implementation of a 12-month preventive maintenance schedule, including quarterly inspections, semi-annual deep servicing, and annual comprehensive overhauls. This program is specifically designed for the environmental conditions of</w:t>
      </w:r>
      <w:r>
        <w:t xml:space="preserve"> </w:t>
      </w:r>
      <w:r>
        <w:t xml:space="preserve">Morocco Casablanca</w:t>
      </w:r>
      <w:r>
        <w:t xml:space="preserve">, accounting for coastal humidity, temperature fluctuations, and dust exposure.</w:t>
      </w:r>
    </w:p>
    <w:p>
      <w:pPr>
        <w:numPr>
          <w:ilvl w:val="0"/>
          <w:numId w:val="1001"/>
        </w:numPr>
        <w:pStyle w:val="Compact"/>
      </w:pPr>
      <w:r>
        <w:rPr>
          <w:bCs/>
          <w:b/>
        </w:rPr>
        <w:t xml:space="preserve">Regulatory Compliance and Documentation:</w:t>
      </w:r>
      <w:r>
        <w:t xml:space="preserve"> </w:t>
      </w:r>
      <w:r>
        <w:t xml:space="preserve">Preparation of all technical documentation required by Moroccan health authorities, including device registration dossiers, risk assessment reports, and conformity declarations. The</w:t>
      </w:r>
      <w:r>
        <w:t xml:space="preserve"> </w:t>
      </w:r>
      <w:r>
        <w:t xml:space="preserve">Biomedical Engineer</w:t>
      </w:r>
      <w:r>
        <w:t xml:space="preserve"> </w:t>
      </w:r>
      <w:r>
        <w:t xml:space="preserve">will liaise directly with the Regional Health Agency (ARS) of Casablanca-Settat to ensure full regulatory alignment.</w:t>
      </w:r>
    </w:p>
    <w:p>
      <w:pPr>
        <w:numPr>
          <w:ilvl w:val="0"/>
          <w:numId w:val="1001"/>
        </w:numPr>
        <w:pStyle w:val="Compact"/>
      </w:pPr>
      <w:r>
        <w:rPr>
          <w:bCs/>
          <w:b/>
        </w:rPr>
        <w:t xml:space="preserve">Staff Training:</w:t>
      </w:r>
      <w:r>
        <w:t xml:space="preserve"> </w:t>
      </w:r>
      <w:r>
        <w:t xml:space="preserve">Two full-day training sessions for the clinic's technical and nursing staff on the proper operation, basic troubleshooting, and safety protocols of the installed equipment.</w:t>
      </w:r>
    </w:p>
    <w:p>
      <w:pPr>
        <w:pStyle w:val="FirstParagraph"/>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(MAD)</w:t>
            </w:r>
          </w:p>
        </w:tc>
        <w:tc>
          <w:tcPr/>
          <w:p>
            <w:pPr>
              <w:pStyle w:val="Compact"/>
              <w:jc w:val="left"/>
            </w:pPr>
            <w:r>
              <w:t xml:space="preserve">Total (MAD)</w:t>
            </w:r>
          </w:p>
        </w:tc>
        <w:tc>
          <w:tcPr/>
          <w:p>
            <w:pPr>
              <w:pStyle w:val="Compact"/>
              <w:jc w:val="left"/>
            </w:pPr>
            <w:r>
              <w:t xml:space="preserve">Duration</w:t>
            </w:r>
          </w:p>
        </w:tc>
      </w:tr>
      <w:tr>
        <w:tc>
          <w:tcPr/>
          <w:p>
            <w:pPr>
              <w:pStyle w:val="Compact"/>
              <w:jc w:val="left"/>
            </w:pPr>
            <w:r>
              <w:t xml:space="preserve">01</w:t>
            </w:r>
          </w:p>
        </w:tc>
        <w:tc>
          <w:tcPr/>
          <w:p>
            <w:pPr>
              <w:pStyle w:val="Compact"/>
              <w:jc w:val="left"/>
            </w:pPr>
            <w:r>
              <w:t xml:space="preserve">Equipment inventory audit and condition assessment by certified Biomedical Engineer</w:t>
            </w:r>
          </w:p>
        </w:tc>
        <w:tc>
          <w:tcPr/>
          <w:p>
            <w:pPr>
              <w:pStyle w:val="Compact"/>
              <w:jc w:val="left"/>
            </w:pPr>
            <w:r>
              <w:t xml:space="preserve">1 lot</w:t>
            </w:r>
          </w:p>
        </w:tc>
        <w:tc>
          <w:tcPr/>
          <w:p>
            <w:pPr>
              <w:pStyle w:val="Compact"/>
              <w:jc w:val="left"/>
            </w:pPr>
            <w:r>
              <w:t xml:space="preserve">18,500.00</w:t>
            </w:r>
          </w:p>
        </w:tc>
        <w:tc>
          <w:tcPr/>
          <w:p>
            <w:pPr>
              <w:pStyle w:val="Compact"/>
              <w:jc w:val="left"/>
            </w:pPr>
            <w:r>
              <w:t xml:space="preserve">18,500.00</w:t>
            </w:r>
          </w:p>
        </w:tc>
        <w:tc>
          <w:tcPr/>
          <w:p>
            <w:pPr>
              <w:pStyle w:val="Compact"/>
              <w:jc w:val="left"/>
            </w:pPr>
            <w:r>
              <w:t xml:space="preserve">5 working days</w:t>
            </w:r>
          </w:p>
        </w:tc>
      </w:tr>
      <w:tr>
        <w:tc>
          <w:tcPr/>
          <w:p>
            <w:pPr>
              <w:pStyle w:val="Compact"/>
              <w:jc w:val="left"/>
            </w:pPr>
            <w:r>
              <w:t xml:space="preserve">02</w:t>
            </w:r>
          </w:p>
        </w:tc>
        <w:tc>
          <w:tcPr/>
          <w:p>
            <w:pPr>
              <w:pStyle w:val="Compact"/>
              <w:jc w:val="left"/>
            </w:pPr>
            <w:r>
              <w:t xml:space="preserve">Installation and commissioning of 14 medical devices (X-ray, ultrasound, analyzers, ECG, monitors)</w:t>
            </w:r>
          </w:p>
        </w:tc>
        <w:tc>
          <w:tcPr/>
          <w:p>
            <w:pPr>
              <w:pStyle w:val="Compact"/>
              <w:jc w:val="left"/>
            </w:pPr>
            <w:r>
              <w:t xml:space="preserve">14 units</w:t>
            </w:r>
          </w:p>
        </w:tc>
        <w:tc>
          <w:tcPr/>
          <w:p>
            <w:pPr>
              <w:pStyle w:val="Compact"/>
              <w:jc w:val="left"/>
            </w:pPr>
            <w:r>
              <w:t xml:space="preserve">7,200.00</w:t>
            </w:r>
          </w:p>
        </w:tc>
        <w:tc>
          <w:tcPr/>
          <w:p>
            <w:pPr>
              <w:pStyle w:val="Compact"/>
              <w:jc w:val="left"/>
            </w:pPr>
            <w:r>
              <w:t xml:space="preserve">100,800.00</w:t>
            </w:r>
          </w:p>
        </w:tc>
        <w:tc>
          <w:tcPr/>
          <w:p>
            <w:pPr>
              <w:pStyle w:val="Compact"/>
              <w:jc w:val="left"/>
            </w:pPr>
            <w:r>
              <w:t xml:space="preserve">20 working days</w:t>
            </w:r>
          </w:p>
        </w:tc>
      </w:tr>
      <w:tr>
        <w:tc>
          <w:tcPr/>
          <w:p>
            <w:pPr>
              <w:pStyle w:val="Compact"/>
              <w:jc w:val="left"/>
            </w:pPr>
            <w:r>
              <w:t xml:space="preserve">03</w:t>
            </w:r>
          </w:p>
        </w:tc>
        <w:tc>
          <w:tcPr/>
          <w:p>
            <w:pPr>
              <w:pStyle w:val="Compact"/>
              <w:jc w:val="left"/>
            </w:pPr>
            <w:r>
              <w:t xml:space="preserve">Calibration and performance verification with certified documentation</w:t>
            </w:r>
          </w:p>
        </w:tc>
        <w:tc>
          <w:tcPr/>
          <w:p>
            <w:pPr>
              <w:pStyle w:val="Compact"/>
              <w:jc w:val="left"/>
            </w:pPr>
            <w:r>
              <w:t xml:space="preserve">14 units</w:t>
            </w:r>
          </w:p>
        </w:tc>
        <w:tc>
          <w:tcPr/>
          <w:p>
            <w:pPr>
              <w:pStyle w:val="Compact"/>
              <w:jc w:val="left"/>
            </w:pPr>
            <w:r>
              <w:t xml:space="preserve">3,800.00</w:t>
            </w:r>
          </w:p>
        </w:tc>
        <w:tc>
          <w:tcPr/>
          <w:p>
            <w:pPr>
              <w:pStyle w:val="Compact"/>
              <w:jc w:val="left"/>
            </w:pPr>
            <w:r>
              <w:t xml:space="preserve">53,200.00</w:t>
            </w:r>
          </w:p>
        </w:tc>
        <w:tc>
          <w:tcPr/>
          <w:p>
            <w:pPr>
              <w:pStyle w:val="Compact"/>
              <w:jc w:val="left"/>
            </w:pPr>
            <w:r>
              <w:t xml:space="preserve">10 working days</w:t>
            </w:r>
          </w:p>
        </w:tc>
      </w:tr>
      <w:tr>
        <w:tc>
          <w:tcPr/>
          <w:p>
            <w:pPr>
              <w:pStyle w:val="Compact"/>
              <w:jc w:val="left"/>
            </w:pPr>
            <w:r>
              <w:t xml:space="preserve">04</w:t>
            </w:r>
          </w:p>
        </w:tc>
        <w:tc>
          <w:tcPr/>
          <w:p>
            <w:pPr>
              <w:pStyle w:val="Compact"/>
              <w:jc w:val="left"/>
            </w:pPr>
            <w:r>
              <w:t xml:space="preserve">Design and implementation of 12-month preventive maintenance program</w:t>
            </w:r>
          </w:p>
        </w:tc>
        <w:tc>
          <w:tcPr/>
          <w:p>
            <w:pPr>
              <w:pStyle w:val="Compact"/>
              <w:jc w:val="left"/>
            </w:pPr>
            <w:r>
              <w:t xml:space="preserve">1 lot</w:t>
            </w:r>
          </w:p>
        </w:tc>
        <w:tc>
          <w:tcPr/>
          <w:p>
            <w:pPr>
              <w:pStyle w:val="Compact"/>
              <w:jc w:val="left"/>
            </w:pPr>
            <w:r>
              <w:t xml:space="preserve">45,000.00</w:t>
            </w:r>
          </w:p>
        </w:tc>
        <w:tc>
          <w:tcPr/>
          <w:p>
            <w:pPr>
              <w:pStyle w:val="Compact"/>
              <w:jc w:val="left"/>
            </w:pPr>
            <w:r>
              <w:t xml:space="preserve">45,000.00</w:t>
            </w:r>
          </w:p>
        </w:tc>
        <w:tc>
          <w:tcPr/>
          <w:p>
            <w:pPr>
              <w:pStyle w:val="Compact"/>
              <w:jc w:val="left"/>
            </w:pPr>
            <w:r>
              <w:t xml:space="preserve">12 months</w:t>
            </w:r>
          </w:p>
        </w:tc>
      </w:tr>
      <w:tr>
        <w:tc>
          <w:tcPr/>
          <w:p>
            <w:pPr>
              <w:pStyle w:val="Compact"/>
              <w:jc w:val="left"/>
            </w:pPr>
            <w:r>
              <w:t xml:space="preserve">05</w:t>
            </w:r>
          </w:p>
        </w:tc>
        <w:tc>
          <w:tcPr/>
          <w:p>
            <w:pPr>
              <w:pStyle w:val="Compact"/>
              <w:jc w:val="left"/>
            </w:pPr>
            <w:r>
              <w:t xml:space="preserve">Regulatory compliance documentation and ARS Casablanca-Settat liaison</w:t>
            </w:r>
          </w:p>
        </w:tc>
        <w:tc>
          <w:tcPr/>
          <w:p>
            <w:pPr>
              <w:pStyle w:val="Compact"/>
              <w:jc w:val="left"/>
            </w:pPr>
            <w:r>
              <w:t xml:space="preserve">1 lot</w:t>
            </w:r>
          </w:p>
        </w:tc>
        <w:tc>
          <w:tcPr/>
          <w:p>
            <w:pPr>
              <w:pStyle w:val="Compact"/>
              <w:jc w:val="left"/>
            </w:pPr>
            <w:r>
              <w:t xml:space="preserve">22,000.00</w:t>
            </w:r>
          </w:p>
        </w:tc>
        <w:tc>
          <w:tcPr/>
          <w:p>
            <w:pPr>
              <w:pStyle w:val="Compact"/>
              <w:jc w:val="left"/>
            </w:pPr>
            <w:r>
              <w:t xml:space="preserve">22,000.00</w:t>
            </w:r>
          </w:p>
        </w:tc>
        <w:tc>
          <w:tcPr/>
          <w:p>
            <w:pPr>
              <w:pStyle w:val="Compact"/>
              <w:jc w:val="left"/>
            </w:pPr>
            <w:r>
              <w:t xml:space="preserve">15 working days</w:t>
            </w:r>
          </w:p>
        </w:tc>
      </w:tr>
      <w:tr>
        <w:tc>
          <w:tcPr/>
          <w:p>
            <w:pPr>
              <w:pStyle w:val="Compact"/>
              <w:jc w:val="left"/>
            </w:pPr>
            <w:r>
              <w:t xml:space="preserve">06</w:t>
            </w:r>
          </w:p>
        </w:tc>
        <w:tc>
          <w:tcPr/>
          <w:p>
            <w:pPr>
              <w:pStyle w:val="Compact"/>
              <w:jc w:val="left"/>
            </w:pPr>
            <w:r>
              <w:t xml:space="preserve">On-site staff training sessions (2 days, up to 20 participants)</w:t>
            </w:r>
          </w:p>
        </w:tc>
        <w:tc>
          <w:tcPr/>
          <w:p>
            <w:pPr>
              <w:pStyle w:val="Compact"/>
              <w:jc w:val="left"/>
            </w:pPr>
            <w:r>
              <w:t xml:space="preserve">2 days</w:t>
            </w:r>
          </w:p>
        </w:tc>
        <w:tc>
          <w:tcPr/>
          <w:p>
            <w:pPr>
              <w:pStyle w:val="Compact"/>
              <w:jc w:val="left"/>
            </w:pPr>
            <w:r>
              <w:t xml:space="preserve">12,000.00</w:t>
            </w:r>
          </w:p>
        </w:tc>
        <w:tc>
          <w:tcPr/>
          <w:p>
            <w:pPr>
              <w:pStyle w:val="Compact"/>
              <w:jc w:val="left"/>
            </w:pPr>
            <w:r>
              <w:t xml:space="preserve">24,000.00</w:t>
            </w:r>
          </w:p>
        </w:tc>
        <w:tc>
          <w:tcPr/>
          <w:p>
            <w:pPr>
              <w:pStyle w:val="Compact"/>
              <w:jc w:val="left"/>
            </w:pPr>
            <w:r>
              <w:t xml:space="preserve">2 working days</w:t>
            </w:r>
          </w:p>
        </w:tc>
      </w:tr>
      <w:tr>
        <w:tc>
          <w:tcPr/>
          <w:p>
            <w:pPr>
              <w:pStyle w:val="Compact"/>
              <w:jc w:val="left"/>
            </w:pPr>
            <w:r>
              <w:t xml:space="preserve">07</w:t>
            </w:r>
          </w:p>
        </w:tc>
        <w:tc>
          <w:tcPr/>
          <w:p>
            <w:pPr>
              <w:pStyle w:val="Compact"/>
              <w:jc w:val="left"/>
            </w:pPr>
            <w:r>
              <w:t xml:space="preserve">Emergency call-out and corrective maintenance (annual retainer, up to 8 interventions)</w:t>
            </w:r>
          </w:p>
        </w:tc>
        <w:tc>
          <w:tcPr/>
          <w:p>
            <w:pPr>
              <w:pStyle w:val="Compact"/>
              <w:jc w:val="left"/>
            </w:pPr>
            <w:r>
              <w:t xml:space="preserve">1 year</w:t>
            </w:r>
          </w:p>
        </w:tc>
        <w:tc>
          <w:tcPr/>
          <w:p>
            <w:pPr>
              <w:pStyle w:val="Compact"/>
              <w:jc w:val="left"/>
            </w:pPr>
            <w:r>
              <w:t xml:space="preserve">35,000.00</w:t>
            </w:r>
          </w:p>
        </w:tc>
        <w:tc>
          <w:tcPr/>
          <w:p>
            <w:pPr>
              <w:pStyle w:val="Compact"/>
              <w:jc w:val="left"/>
            </w:pPr>
            <w:r>
              <w:t xml:space="preserve">35,000.00</w:t>
            </w:r>
          </w:p>
        </w:tc>
        <w:tc>
          <w:tcPr/>
          <w:p>
            <w:pPr>
              <w:pStyle w:val="Compact"/>
              <w:jc w:val="left"/>
            </w:pPr>
            <w:r>
              <w:t xml:space="preserve">12 months</w:t>
            </w:r>
          </w:p>
        </w:tc>
      </w:tr>
      <w:tr>
        <w:tc>
          <w:tcPr/>
          <w:p>
            <w:pPr>
              <w:pStyle w:val="Compact"/>
              <w:jc w:val="left"/>
            </w:pPr>
            <w:r>
              <w:t xml:space="preserve">08</w:t>
            </w:r>
          </w:p>
        </w:tc>
        <w:tc>
          <w:tcPr/>
          <w:p>
            <w:pPr>
              <w:pStyle w:val="Compact"/>
              <w:jc w:val="left"/>
            </w:pPr>
            <w:r>
              <w:t xml:space="preserve">Consumables, calibration standards, and spare parts (first year)</w:t>
            </w:r>
          </w:p>
        </w:tc>
        <w:tc>
          <w:tcPr/>
          <w:p>
            <w:pPr>
              <w:pStyle w:val="Compact"/>
              <w:jc w:val="left"/>
            </w:pPr>
            <w:r>
              <w:t xml:space="preserve">1 lot</w:t>
            </w:r>
          </w:p>
        </w:tc>
        <w:tc>
          <w:tcPr/>
          <w:p>
            <w:pPr>
              <w:pStyle w:val="Compact"/>
              <w:jc w:val="left"/>
            </w:pPr>
            <w:r>
              <w:t xml:space="preserve">28,500.00</w:t>
            </w:r>
          </w:p>
        </w:tc>
        <w:tc>
          <w:tcPr/>
          <w:p>
            <w:pPr>
              <w:pStyle w:val="Compact"/>
              <w:jc w:val="left"/>
            </w:pPr>
            <w:r>
              <w:t xml:space="preserve">28,500.00</w:t>
            </w:r>
          </w:p>
        </w:tc>
        <w:tc>
          <w:tcPr/>
          <w:p>
            <w:pPr>
              <w:pStyle w:val="Compact"/>
              <w:jc w:val="left"/>
            </w:pPr>
            <w:r>
              <w:t xml:space="preserve">12 months</w:t>
            </w:r>
          </w:p>
        </w:tc>
      </w:tr>
      <w:tr>
        <w:tc>
          <w:tcPr>
            <w:gridSpan w:val="4"/>
          </w:tcPr>
          <w:p>
            <w:pPr>
              <w:pStyle w:val="Compact"/>
              <w:jc w:val="right"/>
            </w:pPr>
            <w:r>
              <w:t xml:space="preserve">Subtotal (MAD)</w:t>
            </w:r>
          </w:p>
        </w:tc>
        <w:tc>
          <w:tcPr/>
          <w:p>
            <w:pPr>
              <w:pStyle w:val="Compact"/>
              <w:jc w:val="left"/>
            </w:pPr>
            <w:r>
              <w:t xml:space="preserve">327,000.00</w:t>
            </w:r>
          </w:p>
        </w:tc>
        <w:tc>
          <w:tcPr/>
          <w:p>
            <w:pPr>
              <w:pStyle w:val="Compact"/>
            </w:pPr>
          </w:p>
        </w:tc>
      </w:tr>
      <w:tr>
        <w:tc>
          <w:tcPr>
            <w:gridSpan w:val="4"/>
          </w:tcPr>
          <w:p>
            <w:pPr>
              <w:pStyle w:val="Compact"/>
              <w:jc w:val="right"/>
            </w:pPr>
            <w:r>
              <w:t xml:space="preserve">VAT (20%) – Morocco</w:t>
            </w:r>
          </w:p>
        </w:tc>
        <w:tc>
          <w:tcPr/>
          <w:p>
            <w:pPr>
              <w:pStyle w:val="Compact"/>
              <w:jc w:val="left"/>
            </w:pPr>
            <w:r>
              <w:t xml:space="preserve">65,400.00</w:t>
            </w:r>
          </w:p>
        </w:tc>
        <w:tc>
          <w:tcPr/>
          <w:p>
            <w:pPr>
              <w:pStyle w:val="Compact"/>
            </w:pPr>
          </w:p>
        </w:tc>
      </w:tr>
      <w:tr>
        <w:tc>
          <w:tcPr>
            <w:gridSpan w:val="4"/>
          </w:tcPr>
          <w:p>
            <w:pPr>
              <w:pStyle w:val="Compact"/>
              <w:jc w:val="right"/>
            </w:pPr>
            <w:r>
              <w:t xml:space="preserve">TOTAL AMOUNT DUE (MAD)</w:t>
            </w:r>
          </w:p>
        </w:tc>
        <w:tc>
          <w:tcPr/>
          <w:p>
            <w:pPr>
              <w:pStyle w:val="Compact"/>
              <w:jc w:val="left"/>
            </w:pPr>
            <w:r>
              <w:t xml:space="preserve">392,400.00</w:t>
            </w:r>
          </w:p>
        </w:tc>
        <w:tc>
          <w:tcPr/>
          <w:p>
            <w:pPr>
              <w:pStyle w:val="Compact"/>
            </w:pPr>
          </w:p>
        </w:tc>
      </w:tr>
    </w:tbl>
    <w:p>
      <w:pPr>
        <w:pStyle w:val="BodyText"/>
      </w:pPr>
      <w:r>
        <w:t xml:space="preserve">4. Payment Terms</w:t>
      </w:r>
    </w:p>
    <w:p>
      <w:pPr>
        <w:pStyle w:val="BodyText"/>
      </w:pPr>
      <w:r>
        <w:t xml:space="preserve">Payment for the services outlined in this</w:t>
      </w:r>
      <w:r>
        <w:t xml:space="preserve"> </w:t>
      </w:r>
      <w:r>
        <w:t xml:space="preserve">Quotation Estimate</w:t>
      </w:r>
      <w:r>
        <w:t xml:space="preserve"> </w:t>
      </w:r>
      <w:r>
        <w:t xml:space="preserve">shall be structured as follows:</w:t>
      </w:r>
    </w:p>
    <w:p>
      <w:pPr>
        <w:numPr>
          <w:ilvl w:val="0"/>
          <w:numId w:val="1002"/>
        </w:numPr>
        <w:pStyle w:val="Compact"/>
      </w:pPr>
      <w:r>
        <w:rPr>
          <w:bCs/>
          <w:b/>
        </w:rPr>
        <w:t xml:space="preserve">30% Advance Payment:</w:t>
      </w:r>
      <w:r>
        <w:t xml:space="preserve"> </w:t>
      </w:r>
      <w:r>
        <w:t xml:space="preserve">MAD 117,720.00 due upon signature of the service contract and acceptance of this quotation.</w:t>
      </w:r>
    </w:p>
    <w:p>
      <w:pPr>
        <w:numPr>
          <w:ilvl w:val="0"/>
          <w:numId w:val="1002"/>
        </w:numPr>
        <w:pStyle w:val="Compact"/>
      </w:pPr>
      <w:r>
        <w:rPr>
          <w:bCs/>
          <w:b/>
        </w:rPr>
        <w:t xml:space="preserve">40% Milestone Payment:</w:t>
      </w:r>
      <w:r>
        <w:t xml:space="preserve"> </w:t>
      </w:r>
      <w:r>
        <w:t xml:space="preserve">MAD 156,960.00 due upon completion of installation, commissioning, and calibration of all 14 devices.</w:t>
      </w:r>
    </w:p>
    <w:p>
      <w:pPr>
        <w:numPr>
          <w:ilvl w:val="0"/>
          <w:numId w:val="1002"/>
        </w:numPr>
        <w:pStyle w:val="Compact"/>
      </w:pPr>
      <w:r>
        <w:rPr>
          <w:bCs/>
          <w:b/>
        </w:rPr>
        <w:t xml:space="preserve">30% Final Payment:</w:t>
      </w:r>
      <w:r>
        <w:t xml:space="preserve"> </w:t>
      </w:r>
      <w:r>
        <w:t xml:space="preserve">MAD 117,720.00 due upon delivery of the complete regulatory compliance dossier, training completion, and final acceptance by the client.</w:t>
      </w:r>
    </w:p>
    <w:p>
      <w:pPr>
        <w:pStyle w:val="FirstParagraph"/>
      </w:pPr>
      <w:r>
        <w:t xml:space="preserve">All payments shall be made via bank transfer to the account of MedTech Solutions Casablanca SARL, Bank of Africa (BMCE), IBAN: MA64 4002 1010 0001 2345 6789 012, Casablanca branch. Payment is due within 15 calendar days of invoice issuance. Late payments shall incur a penalty of 1.5% per month as per Moroccan commercial law.</w:t>
      </w:r>
    </w:p>
    <w:p>
      <w:pPr>
        <w:pStyle w:val="BodyText"/>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a period of 30 calendar days from the date of issue. Beyond this period, pricing may be subject to revision due to market fluctuations in spare parts and consumables.</w:t>
      </w:r>
    </w:p>
    <w:p>
      <w:pPr>
        <w:numPr>
          <w:ilvl w:val="0"/>
          <w:numId w:val="1003"/>
        </w:numPr>
        <w:pStyle w:val="Compact"/>
      </w:pPr>
      <w:r>
        <w:t xml:space="preserve">All</w:t>
      </w:r>
      <w:r>
        <w:t xml:space="preserve"> </w:t>
      </w:r>
      <w:r>
        <w:t xml:space="preserve">Biomedical Engineer</w:t>
      </w:r>
      <w:r>
        <w:t xml:space="preserve"> </w:t>
      </w:r>
      <w:r>
        <w:t xml:space="preserve">personnel assigned to this project in</w:t>
      </w:r>
      <w:r>
        <w:t xml:space="preserve"> </w:t>
      </w:r>
      <w:r>
        <w:t xml:space="preserve">Morocco Casablanca</w:t>
      </w:r>
      <w:r>
        <w:t xml:space="preserve"> </w:t>
      </w:r>
      <w:r>
        <w:t xml:space="preserve">hold valid professional certifications from the Moroccan Order of Engineers (Ordre des Ingénieurs du Maroc) and relevant international accreditations (IEEE, IEC).</w:t>
      </w:r>
    </w:p>
    <w:p>
      <w:pPr>
        <w:numPr>
          <w:ilvl w:val="0"/>
          <w:numId w:val="1003"/>
        </w:numPr>
        <w:pStyle w:val="Compact"/>
      </w:pPr>
      <w:r>
        <w:t xml:space="preserve">The client is responsible for providing safe access to all equipment rooms, adequate electrical supply (220V/50Hz), and a dedicated workspace for the</w:t>
      </w:r>
      <w:r>
        <w:t xml:space="preserve"> </w:t>
      </w:r>
      <w:r>
        <w:t xml:space="preserve">Biomedical Engineer</w:t>
      </w:r>
      <w:r>
        <w:t xml:space="preserve"> </w:t>
      </w:r>
      <w:r>
        <w:t xml:space="preserve">team during the engagement period.</w:t>
      </w:r>
    </w:p>
    <w:p>
      <w:pPr>
        <w:numPr>
          <w:ilvl w:val="0"/>
          <w:numId w:val="1003"/>
        </w:numPr>
        <w:pStyle w:val="Compact"/>
      </w:pPr>
      <w:r>
        <w:t xml:space="preserve">Warranty on all installation and calibration work is 12 months from the date of final acceptance. This warranty does not cover damage caused by misuse, power surges, or unauthorized third-party modifications.</w:t>
      </w:r>
    </w:p>
    <w:p>
      <w:pPr>
        <w:numPr>
          <w:ilvl w:val="0"/>
          <w:numId w:val="1003"/>
        </w:numPr>
        <w:pStyle w:val="Compact"/>
      </w:pPr>
      <w:r>
        <w:t xml:space="preserve">Any additional services or scope changes beyond what is described in this</w:t>
      </w:r>
      <w:r>
        <w:t xml:space="preserve"> </w:t>
      </w:r>
      <w:r>
        <w:t xml:space="preserve">Quotation Estimate</w:t>
      </w:r>
      <w:r>
        <w:t xml:space="preserve"> </w:t>
      </w:r>
      <w:r>
        <w:t xml:space="preserve">shall be subject to a separate written amendment and additional cost quotation.</w:t>
      </w:r>
    </w:p>
    <w:p>
      <w:pPr>
        <w:numPr>
          <w:ilvl w:val="0"/>
          <w:numId w:val="1003"/>
        </w:numPr>
        <w:pStyle w:val="Compact"/>
      </w:pPr>
      <w:r>
        <w:t xml:space="preserve">This agreement is governed by the laws of the Kingdom of Morocco. Any disputes shall be resolved through the competent commercial courts of Casablanca.</w:t>
      </w:r>
    </w:p>
    <w:p>
      <w:pPr>
        <w:numPr>
          <w:ilvl w:val="0"/>
          <w:numId w:val="1003"/>
        </w:numPr>
        <w:pStyle w:val="Compact"/>
      </w:pPr>
      <w:r>
        <w:t xml:space="preserve">Confidentiality: All technical data, patient-related information, and proprietary documentation encountered during the engagement shall be treated as strictly confidential by the</w:t>
      </w:r>
      <w:r>
        <w:t xml:space="preserve"> </w:t>
      </w:r>
      <w:r>
        <w:t xml:space="preserve">Biomedical Engineer</w:t>
      </w:r>
      <w:r>
        <w:t xml:space="preserve"> </w:t>
      </w:r>
      <w:r>
        <w:t xml:space="preserve">team and shall not be disclosed to any third party without written consent.</w:t>
      </w:r>
    </w:p>
    <w:p>
      <w:pPr>
        <w:pStyle w:val="FirstParagraph"/>
      </w:pPr>
      <w:r>
        <w:t xml:space="preserve">6. Project Timeline Summary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Activity</w:t>
            </w:r>
          </w:p>
        </w:tc>
        <w:tc>
          <w:tcPr/>
          <w:p>
            <w:pPr>
              <w:pStyle w:val="Compact"/>
              <w:jc w:val="left"/>
            </w:pPr>
            <w:r>
              <w:t xml:space="preserve">Estimated Duration</w:t>
            </w:r>
          </w:p>
        </w:tc>
      </w:tr>
      <w:tr>
        <w:tc>
          <w:tcPr/>
          <w:p>
            <w:pPr>
              <w:pStyle w:val="Compact"/>
              <w:jc w:val="left"/>
            </w:pPr>
            <w:r>
              <w:t xml:space="preserve">Phase 1</w:t>
            </w:r>
          </w:p>
        </w:tc>
        <w:tc>
          <w:tcPr/>
          <w:p>
            <w:pPr>
              <w:pStyle w:val="Compact"/>
              <w:jc w:val="left"/>
            </w:pPr>
            <w:r>
              <w:t xml:space="preserve">Inventory audit and assessment</w:t>
            </w:r>
          </w:p>
        </w:tc>
        <w:tc>
          <w:tcPr/>
          <w:p>
            <w:pPr>
              <w:pStyle w:val="Compact"/>
              <w:jc w:val="left"/>
            </w:pPr>
            <w:r>
              <w:t xml:space="preserve">Week 1</w:t>
            </w:r>
          </w:p>
        </w:tc>
      </w:tr>
      <w:tr>
        <w:tc>
          <w:tcPr/>
          <w:p>
            <w:pPr>
              <w:pStyle w:val="Compact"/>
              <w:jc w:val="left"/>
            </w:pPr>
            <w:r>
              <w:t xml:space="preserve">Phase 2</w:t>
            </w:r>
          </w:p>
        </w:tc>
        <w:tc>
          <w:tcPr/>
          <w:p>
            <w:pPr>
              <w:pStyle w:val="Compact"/>
              <w:jc w:val="left"/>
            </w:pPr>
            <w:r>
              <w:t xml:space="preserve">Installation and commissioning</w:t>
            </w:r>
          </w:p>
        </w:tc>
        <w:tc>
          <w:tcPr/>
          <w:p>
            <w:pPr>
              <w:pStyle w:val="Compact"/>
              <w:jc w:val="left"/>
            </w:pPr>
            <w:r>
              <w:t xml:space="preserve">Weeks 2–5</w:t>
            </w:r>
          </w:p>
        </w:tc>
      </w:tr>
      <w:tr>
        <w:tc>
          <w:tcPr/>
          <w:p>
            <w:pPr>
              <w:pStyle w:val="Compact"/>
              <w:jc w:val="left"/>
            </w:pPr>
            <w:r>
              <w:t xml:space="preserve">Phase 3</w:t>
            </w:r>
          </w:p>
        </w:tc>
        <w:tc>
          <w:tcPr/>
          <w:p>
            <w:pPr>
              <w:pStyle w:val="Compact"/>
              <w:jc w:val="left"/>
            </w:pPr>
            <w:r>
              <w:t xml:space="preserve">Calibration and verification</w:t>
            </w:r>
          </w:p>
        </w:tc>
        <w:tc>
          <w:tcPr/>
          <w:p>
            <w:pPr>
              <w:pStyle w:val="Compact"/>
              <w:jc w:val="left"/>
            </w:pPr>
            <w:r>
              <w:t xml:space="preserve">Weeks 5–6</w:t>
            </w:r>
          </w:p>
        </w:tc>
      </w:tr>
      <w:tr>
        <w:tc>
          <w:tcPr/>
          <w:p>
            <w:pPr>
              <w:pStyle w:val="Compact"/>
              <w:jc w:val="left"/>
            </w:pPr>
            <w:r>
              <w:t xml:space="preserve">Phase 4</w:t>
            </w:r>
          </w:p>
        </w:tc>
        <w:tc>
          <w:tcPr/>
          <w:p>
            <w:pPr>
              <w:pStyle w:val="Compact"/>
              <w:jc w:val="left"/>
            </w:pPr>
            <w:r>
              <w:t xml:space="preserve">Regulatory documentation and ARS submission</w:t>
            </w:r>
          </w:p>
        </w:tc>
        <w:tc>
          <w:tcPr/>
          <w:p>
            <w:pPr>
              <w:pStyle w:val="Compact"/>
              <w:jc w:val="left"/>
            </w:pPr>
            <w:r>
              <w:t xml:space="preserve">Weeks 6–8</w:t>
            </w:r>
          </w:p>
        </w:tc>
      </w:tr>
      <w:tr>
        <w:tc>
          <w:tcPr/>
          <w:p>
            <w:pPr>
              <w:pStyle w:val="Compact"/>
              <w:jc w:val="left"/>
            </w:pPr>
            <w:r>
              <w:t xml:space="preserve">Phase 5</w:t>
            </w:r>
          </w:p>
        </w:tc>
        <w:tc>
          <w:tcPr/>
          <w:p>
            <w:pPr>
              <w:pStyle w:val="Compact"/>
              <w:jc w:val="left"/>
            </w:pPr>
            <w:r>
              <w:t xml:space="preserve">Staff training and handover</w:t>
            </w:r>
          </w:p>
        </w:tc>
        <w:tc>
          <w:tcPr/>
          <w:p>
            <w:pPr>
              <w:pStyle w:val="Compact"/>
              <w:jc w:val="left"/>
            </w:pPr>
            <w:r>
              <w:t xml:space="preserve">Week 8</w:t>
            </w:r>
          </w:p>
        </w:tc>
      </w:tr>
      <w:tr>
        <w:tc>
          <w:tcPr/>
          <w:p>
            <w:pPr>
              <w:pStyle w:val="Compact"/>
              <w:jc w:val="left"/>
            </w:pPr>
            <w:r>
              <w:t xml:space="preserve">Phase 6</w:t>
            </w:r>
          </w:p>
        </w:tc>
        <w:tc>
          <w:tcPr/>
          <w:p>
            <w:pPr>
              <w:pStyle w:val="Compact"/>
              <w:jc w:val="left"/>
            </w:pPr>
            <w:r>
              <w:t xml:space="preserve">Ongoing preventive maintenance (12 months)</w:t>
            </w:r>
          </w:p>
        </w:tc>
        <w:tc>
          <w:tcPr/>
          <w:p>
            <w:pPr>
              <w:pStyle w:val="Compact"/>
              <w:jc w:val="left"/>
            </w:pPr>
            <w:r>
              <w:t xml:space="preserve">Months 2–13</w:t>
            </w:r>
          </w:p>
        </w:tc>
      </w:tr>
    </w:tbl>
    <w:p>
      <w:pPr>
        <w:pStyle w:val="BodyText"/>
      </w:pPr>
      <w:r>
        <w:rPr>
          <w:bCs/>
          <w:b/>
        </w:rPr>
        <w:t xml:space="preserve">For MedTech Solutions Casablanca SARL</w:t>
      </w:r>
    </w:p>
    <w:p>
      <w:pPr>
        <w:pStyle w:val="BodyText"/>
      </w:pPr>
      <w:r>
        <w:t xml:space="preserve">Authorized Signatory</w:t>
      </w:r>
    </w:p>
    <w:p>
      <w:pPr>
        <w:pStyle w:val="BodyText"/>
      </w:pPr>
      <w:r>
        <w:t xml:space="preserve">Name: Karim El Fassi, CEO</w:t>
      </w:r>
      <w:r>
        <w:br/>
      </w:r>
      <w:r>
        <w:t xml:space="preserve">Date: _______________</w:t>
      </w:r>
    </w:p>
    <w:p>
      <w:pPr>
        <w:pStyle w:val="BodyText"/>
      </w:pPr>
      <w:r>
        <w:rPr>
          <w:bCs/>
          <w:b/>
        </w:rPr>
        <w:t xml:space="preserve">For Clinique Al Amal (Client)</w:t>
      </w:r>
    </w:p>
    <w:p>
      <w:pPr>
        <w:pStyle w:val="BodyText"/>
      </w:pPr>
      <w:r>
        <w:t xml:space="preserve">Authorized Signatory</w:t>
      </w:r>
    </w:p>
    <w:p>
      <w:pPr>
        <w:pStyle w:val="BodyText"/>
      </w:pPr>
      <w:r>
        <w:t xml:space="preserve">Name: Dr. Youssef Benali, Director</w:t>
      </w:r>
      <w:r>
        <w:br/>
      </w:r>
      <w:r>
        <w:t xml:space="preserve">Date: _______________</w:t>
      </w:r>
    </w:p>
    <w:p>
      <w:pPr>
        <w:pStyle w:val="BodyText"/>
      </w:pPr>
      <w:r>
        <w:t xml:space="preserve">This Quotation Estimate (Ref: QTE-2025-0847) is issued by MedTech Solutions Casablanca SARL for Biomedical Engineer services in Morocco Casablanca. This document is confidential and intended solely for the named recipient. Unauthorized reproduction or distribution is prohibited. © 2025 MedTech Solutions Casablanca SARL.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Biomedical Engineer Services - Morocco Casablanca</dc:title>
  <dc:creator/>
  <dc:language>en</dc:language>
  <cp:keywords/>
  <dcterms:created xsi:type="dcterms:W3CDTF">2026-10-10T04:03:46Z</dcterms:created>
  <dcterms:modified xsi:type="dcterms:W3CDTF">2026-10-10T04:03:46Z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