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Biomedical Engineer Services — Myanmar Yangon</w:t>
      </w:r>
    </w:p>
    <w:p>
      <w:pPr>
        <w:pStyle w:val="BodyText"/>
      </w:pPr>
      <w:r>
        <w:t xml:space="preserve">Document No: QTE-BME-2025-0047</w:t>
      </w:r>
    </w:p>
    <w:bookmarkEnd w:id="20"/>
    <w:bookmarkStart w:id="21" w:name="provider-information"/>
    <w:p>
      <w:pPr>
        <w:pStyle w:val="Heading3"/>
      </w:pPr>
      <w:r>
        <w:t xml:space="preserve">Provider Information</w:t>
      </w:r>
    </w:p>
    <w:p>
      <w:pPr>
        <w:pStyle w:val="FirstParagraph"/>
      </w:pPr>
      <w:r>
        <w:rPr>
          <w:bCs/>
          <w:b/>
        </w:rPr>
        <w:t xml:space="preserve">Company:</w:t>
      </w:r>
      <w:r>
        <w:t xml:space="preserve"> </w:t>
      </w:r>
      <w:r>
        <w:t xml:space="preserve">Yangon MedTech Solutions Co., Ltd.</w:t>
      </w:r>
    </w:p>
    <w:p>
      <w:pPr>
        <w:pStyle w:val="BodyText"/>
      </w:pPr>
      <w:r>
        <w:rPr>
          <w:bCs/>
          <w:b/>
        </w:rPr>
        <w:t xml:space="preserve">Address:</w:t>
      </w:r>
      <w:r>
        <w:t xml:space="preserve"> </w:t>
      </w:r>
      <w:r>
        <w:t xml:space="preserve">No. 45, 27th Street, Kamayut Township, Yangon, Myanmar</w:t>
      </w:r>
    </w:p>
    <w:p>
      <w:pPr>
        <w:pStyle w:val="BodyText"/>
      </w:pPr>
      <w:r>
        <w:rPr>
          <w:bCs/>
          <w:b/>
        </w:rPr>
        <w:t xml:space="preserve">Contact:</w:t>
      </w:r>
      <w:r>
        <w:t xml:space="preserve"> </w:t>
      </w:r>
      <w:r>
        <w:t xml:space="preserve">+95-9-790-123-456</w:t>
      </w:r>
    </w:p>
    <w:p>
      <w:pPr>
        <w:pStyle w:val="BodyText"/>
      </w:pPr>
      <w:r>
        <w:rPr>
          <w:bCs/>
          <w:b/>
        </w:rPr>
        <w:t xml:space="preserve">Email:</w:t>
      </w:r>
      <w:r>
        <w:t xml:space="preserve"> </w:t>
      </w:r>
      <w:r>
        <w:t xml:space="preserve">quotations@yangonmedtech.mm</w:t>
      </w:r>
    </w:p>
    <w:p>
      <w:pPr>
        <w:pStyle w:val="BodyText"/>
      </w:pPr>
      <w:r>
        <w:rPr>
          <w:bCs/>
          <w:b/>
        </w:rPr>
        <w:t xml:space="preserve">Tax Registration:</w:t>
      </w:r>
      <w:r>
        <w:t xml:space="preserve"> </w:t>
      </w:r>
      <w:r>
        <w:t xml:space="preserve">10012345678</w:t>
      </w:r>
    </w:p>
    <w:bookmarkEnd w:id="21"/>
    <w:bookmarkStart w:id="22" w:name="client-information"/>
    <w:p>
      <w:pPr>
        <w:pStyle w:val="Heading3"/>
      </w:pPr>
      <w:r>
        <w:t xml:space="preserve">Client Information</w:t>
      </w:r>
    </w:p>
    <w:p>
      <w:pPr>
        <w:pStyle w:val="FirstParagraph"/>
      </w:pPr>
      <w:r>
        <w:rPr>
          <w:bCs/>
          <w:b/>
        </w:rPr>
        <w:t xml:space="preserve">Organization:</w:t>
      </w:r>
      <w:r>
        <w:t xml:space="preserve"> </w:t>
      </w:r>
      <w:r>
        <w:t xml:space="preserve">Yangon General Hospital — Medical Equipment Division</w:t>
      </w:r>
    </w:p>
    <w:p>
      <w:pPr>
        <w:pStyle w:val="BodyText"/>
      </w:pPr>
      <w:r>
        <w:rPr>
          <w:bCs/>
          <w:b/>
        </w:rPr>
        <w:t xml:space="preserve">Address:</w:t>
      </w:r>
      <w:r>
        <w:t xml:space="preserve"> </w:t>
      </w:r>
      <w:r>
        <w:t xml:space="preserve">254, 27th Street, Kamayut Township, Yangon, Myanmar</w:t>
      </w:r>
    </w:p>
    <w:p>
      <w:pPr>
        <w:pStyle w:val="BodyText"/>
      </w:pPr>
      <w:r>
        <w:rPr>
          <w:bCs/>
          <w:b/>
        </w:rPr>
        <w:t xml:space="preserve">Attn:</w:t>
      </w:r>
      <w:r>
        <w:t xml:space="preserve"> </w:t>
      </w:r>
      <w:r>
        <w:t xml:space="preserve">Dr. Aung Kyaw Min, Chief of Biomedical Engineering</w:t>
      </w:r>
    </w:p>
    <w:p>
      <w:pPr>
        <w:pStyle w:val="BodyText"/>
      </w:pPr>
      <w:r>
        <w:rPr>
          <w:bCs/>
          <w:b/>
        </w:rPr>
        <w:t xml:space="preserve">Contact:</w:t>
      </w:r>
      <w:r>
        <w:t xml:space="preserve"> </w:t>
      </w:r>
      <w:r>
        <w:t xml:space="preserve">+95-9-456-789-012</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Myanmar Kyat (MMK) / USD</w:t>
      </w:r>
    </w:p>
    <w:p>
      <w:pPr>
        <w:pStyle w:val="BodyText"/>
      </w:pPr>
      <w:r>
        <w:rPr>
          <w:bCs/>
          <w:b/>
        </w:rPr>
        <w:t xml:space="preserve">Reference:</w:t>
      </w:r>
      <w:r>
        <w:t xml:space="preserve"> </w:t>
      </w:r>
      <w:r>
        <w:t xml:space="preserve">RFP-YGH-2025-BME-012</w:t>
      </w:r>
    </w:p>
    <w:bookmarkEnd w:id="23"/>
    <w:bookmarkStart w:id="24" w:name="scope-summary"/>
    <w:p>
      <w:pPr>
        <w:pStyle w:val="Heading3"/>
      </w:pPr>
      <w:r>
        <w:t xml:space="preserve">Scope Summary</w:t>
      </w:r>
    </w:p>
    <w:p>
      <w:pPr>
        <w:pStyle w:val="FirstParagraph"/>
      </w:pPr>
      <w:r>
        <w:t xml:space="preserve">Engagement of a qualified</w:t>
      </w:r>
      <w:r>
        <w:t xml:space="preserve"> </w:t>
      </w:r>
      <w:r>
        <w:t xml:space="preserve">Biomedical Engineer</w:t>
      </w:r>
      <w:r>
        <w:t xml:space="preserve"> </w:t>
      </w:r>
      <w:r>
        <w:t xml:space="preserve">for installation, calibration, preventive maintenance, and technical support of medical diagnostic and therapeutic equipment at facilities located in</w:t>
      </w:r>
      <w:r>
        <w:t xml:space="preserve"> </w:t>
      </w:r>
      <w:r>
        <w:t xml:space="preserve">Myanmar Yangon</w:t>
      </w:r>
      <w:r>
        <w:t xml:space="preserve">.</w:t>
      </w:r>
    </w:p>
    <w:bookmarkEnd w:id="24"/>
    <w:bookmarkStart w:id="25" w:name="Xa7f1faa461b03cc210eb26f9b04e497671c78c1"/>
    <w:p>
      <w:pPr>
        <w:pStyle w:val="Heading2"/>
      </w:pPr>
      <w:r>
        <w:t xml:space="preserve">1. Scope of Work — Biomedical Engineer Services</w:t>
      </w:r>
    </w:p>
    <w:p>
      <w:pPr>
        <w:pStyle w:val="FirstParagraph"/>
      </w:pPr>
      <w:r>
        <w:t xml:space="preserve">This</w:t>
      </w:r>
      <w:r>
        <w:t xml:space="preserve"> </w:t>
      </w:r>
      <w:r>
        <w:t xml:space="preserve">Quotation Estimate</w:t>
      </w:r>
      <w:r>
        <w:t xml:space="preserve"> </w:t>
      </w:r>
      <w:r>
        <w:t xml:space="preserve">outlines the comprehensive professional services to be delivered by a certified</w:t>
      </w:r>
      <w:r>
        <w:t xml:space="preserve"> </w:t>
      </w:r>
      <w:r>
        <w:t xml:space="preserve">Biomedical Engineer</w:t>
      </w:r>
      <w:r>
        <w:t xml:space="preserve"> </w:t>
      </w:r>
      <w:r>
        <w:t xml:space="preserve">operating within the</w:t>
      </w:r>
      <w:r>
        <w:t xml:space="preserve"> </w:t>
      </w:r>
      <w:r>
        <w:t xml:space="preserve">Myanmar Yangon</w:t>
      </w:r>
      <w:r>
        <w:t xml:space="preserve"> </w:t>
      </w:r>
      <w:r>
        <w:t xml:space="preserve">metropolitan area and its surrounding townships. The scope encompasses the following key deliverables:</w:t>
      </w:r>
    </w:p>
    <w:p>
      <w:pPr>
        <w:numPr>
          <w:ilvl w:val="0"/>
          <w:numId w:val="1001"/>
        </w:numPr>
        <w:pStyle w:val="Compact"/>
      </w:pPr>
      <w:r>
        <w:rPr>
          <w:bCs/>
          <w:b/>
        </w:rPr>
        <w:t xml:space="preserve">Installation &amp; Commissioning:</w:t>
      </w:r>
      <w:r>
        <w:t xml:space="preserve"> </w:t>
      </w:r>
      <w:r>
        <w:t xml:space="preserve">Full installation, configuration, and initial commissioning of newly procured medical devices including MRI scanners, CT imaging systems, patient monitors, ventilators, and laboratory analyzers at the client's designated facilities in Yangon.</w:t>
      </w:r>
    </w:p>
    <w:p>
      <w:pPr>
        <w:numPr>
          <w:ilvl w:val="0"/>
          <w:numId w:val="1001"/>
        </w:numPr>
        <w:pStyle w:val="Compact"/>
      </w:pPr>
      <w:r>
        <w:rPr>
          <w:bCs/>
          <w:b/>
        </w:rPr>
        <w:t xml:space="preserve">Preventive Maintenance Program:</w:t>
      </w:r>
      <w:r>
        <w:t xml:space="preserve"> </w:t>
      </w:r>
      <w:r>
        <w:t xml:space="preserve">A structured quarterly preventive maintenance schedule for all biomedical equipment, including electrical safety testing, performance verification, software updates, and component replacement as per manufacturer specifications.</w:t>
      </w:r>
    </w:p>
    <w:p>
      <w:pPr>
        <w:numPr>
          <w:ilvl w:val="0"/>
          <w:numId w:val="1001"/>
        </w:numPr>
        <w:pStyle w:val="Compact"/>
      </w:pPr>
      <w:r>
        <w:rPr>
          <w:bCs/>
          <w:b/>
        </w:rPr>
        <w:t xml:space="preserve">Corrective Maintenance &amp; Troubleshooting:</w:t>
      </w:r>
      <w:r>
        <w:t xml:space="preserve"> </w:t>
      </w:r>
      <w:r>
        <w:t xml:space="preserve">On-call and scheduled corrective maintenance response within 4 business hours for critical equipment failures and 24 business hours for non-critical systems, ensuring minimal disruption to patient care in Myanmar Yangon hospitals.</w:t>
      </w:r>
    </w:p>
    <w:p>
      <w:pPr>
        <w:numPr>
          <w:ilvl w:val="0"/>
          <w:numId w:val="1001"/>
        </w:numPr>
        <w:pStyle w:val="Compact"/>
      </w:pPr>
      <w:r>
        <w:rPr>
          <w:bCs/>
          <w:b/>
        </w:rPr>
        <w:t xml:space="preserve">Regulatory Compliance &amp; Documentation:</w:t>
      </w:r>
      <w:r>
        <w:t xml:space="preserve"> </w:t>
      </w:r>
      <w:r>
        <w:t xml:space="preserve">Preparation of all technical documentation, calibration certificates, and compliance reports in accordance with the Myanmar Ministry of Health regulations and the Myanmar Food and Drug Authority (MFDA) guidelines for medical device management.</w:t>
      </w:r>
    </w:p>
    <w:p>
      <w:pPr>
        <w:numPr>
          <w:ilvl w:val="0"/>
          <w:numId w:val="1001"/>
        </w:numPr>
        <w:pStyle w:val="Compact"/>
      </w:pPr>
      <w:r>
        <w:rPr>
          <w:bCs/>
          <w:b/>
        </w:rPr>
        <w:t xml:space="preserve">Training &amp; Knowledge Transfer:</w:t>
      </w:r>
      <w:r>
        <w:t xml:space="preserve"> </w:t>
      </w:r>
      <w:r>
        <w:t xml:space="preserve">Delivery of hands-on training sessions for hospital biomedical staff, covering equipment operation, basic troubleshooting, and safety protocols. A minimum of four (4) training workshops per quarter will be conducted at the client's premises in Yangon.</w:t>
      </w:r>
    </w:p>
    <w:p>
      <w:pPr>
        <w:numPr>
          <w:ilvl w:val="0"/>
          <w:numId w:val="1001"/>
        </w:numPr>
        <w:pStyle w:val="Compact"/>
      </w:pPr>
      <w:r>
        <w:rPr>
          <w:bCs/>
          <w:b/>
        </w:rPr>
        <w:t xml:space="preserve">Annual Technical Audit:</w:t>
      </w:r>
      <w:r>
        <w:t xml:space="preserve"> </w:t>
      </w:r>
      <w:r>
        <w:t xml:space="preserve">A comprehensive annual audit of all biomedical assets, producing a detailed condition report, risk assessment, and capital replacement recommendation for the client's strategic planning.</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(MMK)</w:t>
            </w:r>
          </w:p>
        </w:tc>
        <w:tc>
          <w:tcPr/>
          <w:p>
            <w:pPr>
              <w:pStyle w:val="Compact"/>
              <w:jc w:val="left"/>
            </w:pPr>
            <w:r>
              <w:t xml:space="preserve">Total (MMK)</w:t>
            </w:r>
          </w:p>
        </w:tc>
      </w:tr>
      <w:tr>
        <w:tc>
          <w:tcPr/>
          <w:p>
            <w:pPr>
              <w:pStyle w:val="Compact"/>
              <w:jc w:val="left"/>
            </w:pPr>
            <w:r>
              <w:t xml:space="preserve">1</w:t>
            </w:r>
          </w:p>
        </w:tc>
        <w:tc>
          <w:tcPr/>
          <w:p>
            <w:pPr>
              <w:pStyle w:val="Compact"/>
              <w:jc w:val="left"/>
            </w:pPr>
            <w:r>
              <w:t xml:space="preserve">Biomedical Engineer — Senior (12+ years experience), full-time engagement for installation and commissioning of 15 medical devices</w:t>
            </w:r>
          </w:p>
        </w:tc>
        <w:tc>
          <w:tcPr/>
          <w:p>
            <w:pPr>
              <w:pStyle w:val="Compact"/>
              <w:jc w:val="left"/>
            </w:pPr>
            <w:r>
              <w:t xml:space="preserve">3 months</w:t>
            </w:r>
          </w:p>
        </w:tc>
        <w:tc>
          <w:tcPr/>
          <w:p>
            <w:pPr>
              <w:pStyle w:val="Compact"/>
              <w:jc w:val="left"/>
            </w:pPr>
            <w:r>
              <w:t xml:space="preserve">4,500,000 / month</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Biomedical Engineer — Mid-level (5+ years experience), ongoing preventive and corrective maintenance coverage</w:t>
            </w:r>
          </w:p>
        </w:tc>
        <w:tc>
          <w:tcPr/>
          <w:p>
            <w:pPr>
              <w:pStyle w:val="Compact"/>
              <w:jc w:val="left"/>
            </w:pPr>
            <w:r>
              <w:t xml:space="preserve">12 months</w:t>
            </w:r>
          </w:p>
        </w:tc>
        <w:tc>
          <w:tcPr/>
          <w:p>
            <w:pPr>
              <w:pStyle w:val="Compact"/>
              <w:jc w:val="left"/>
            </w:pPr>
            <w:r>
              <w:t xml:space="preserve">3,200,000 / month</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Calibration and performance verification of existing equipment inventory (approx. 200 devices)</w:t>
            </w:r>
          </w:p>
        </w:tc>
        <w:tc>
          <w:tcPr/>
          <w:p>
            <w:pPr>
              <w:pStyle w:val="Compact"/>
              <w:jc w:val="left"/>
            </w:pPr>
            <w:r>
              <w:t xml:space="preserve">One-time</w:t>
            </w:r>
          </w:p>
        </w:tc>
        <w:tc>
          <w:tcPr/>
          <w:p>
            <w:pPr>
              <w:pStyle w:val="Compact"/>
              <w:jc w:val="left"/>
            </w:pPr>
            <w:r>
              <w:t xml:space="preserve">185,000 / device</w:t>
            </w:r>
          </w:p>
        </w:tc>
        <w:tc>
          <w:tcPr/>
          <w:p>
            <w:pPr>
              <w:pStyle w:val="Compact"/>
              <w:jc w:val="left"/>
            </w:pPr>
            <w:r>
              <w:t xml:space="preserve">37,000,000</w:t>
            </w:r>
          </w:p>
        </w:tc>
      </w:tr>
      <w:tr>
        <w:tc>
          <w:tcPr/>
          <w:p>
            <w:pPr>
              <w:pStyle w:val="Compact"/>
              <w:jc w:val="left"/>
            </w:pPr>
            <w:r>
              <w:t xml:space="preserve">4</w:t>
            </w:r>
          </w:p>
        </w:tc>
        <w:tc>
          <w:tcPr/>
          <w:p>
            <w:pPr>
              <w:pStyle w:val="Compact"/>
              <w:jc w:val="left"/>
            </w:pPr>
            <w:r>
              <w:t xml:space="preserve">Regulatory compliance documentation and MFDA filing support for Myanmar Yangon facilities</w:t>
            </w:r>
          </w:p>
        </w:tc>
        <w:tc>
          <w:tcPr/>
          <w:p>
            <w:pPr>
              <w:pStyle w:val="Compact"/>
              <w:jc w:val="left"/>
            </w:pPr>
            <w:r>
              <w:t xml:space="preserve">One-time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Staff training workshops (4 sessions per quarter, 8 hours each, up to 20 participants per session)</w:t>
            </w:r>
          </w:p>
        </w:tc>
        <w:tc>
          <w:tcPr/>
          <w:p>
            <w:pPr>
              <w:pStyle w:val="Compact"/>
              <w:jc w:val="left"/>
            </w:pPr>
            <w:r>
              <w:t xml:space="preserve">12 months</w:t>
            </w:r>
          </w:p>
        </w:tc>
        <w:tc>
          <w:tcPr/>
          <w:p>
            <w:pPr>
              <w:pStyle w:val="Compact"/>
              <w:jc w:val="left"/>
            </w:pPr>
            <w:r>
              <w:t xml:space="preserve">1,800,000 / quarter</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Annual technical audit and capital planning report</w:t>
            </w:r>
          </w:p>
        </w:tc>
        <w:tc>
          <w:tcPr/>
          <w:p>
            <w:pPr>
              <w:pStyle w:val="Compact"/>
              <w:jc w:val="left"/>
            </w:pPr>
            <w:r>
              <w:t xml:space="preserve">One-time</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7</w:t>
            </w:r>
          </w:p>
        </w:tc>
        <w:tc>
          <w:tcPr/>
          <w:p>
            <w:pPr>
              <w:pStyle w:val="Compact"/>
              <w:jc w:val="left"/>
            </w:pPr>
            <w:r>
              <w:t xml:space="preserve">Emergency on-call response (24/7 coverage, maximum 4-hour response time within Yangon city limits)</w:t>
            </w:r>
          </w:p>
        </w:tc>
        <w:tc>
          <w:tcPr/>
          <w:p>
            <w:pPr>
              <w:pStyle w:val="Compact"/>
              <w:jc w:val="left"/>
            </w:pPr>
            <w:r>
              <w:t xml:space="preserve">12 months</w:t>
            </w:r>
          </w:p>
        </w:tc>
        <w:tc>
          <w:tcPr/>
          <w:p>
            <w:pPr>
              <w:pStyle w:val="Compact"/>
              <w:jc w:val="left"/>
            </w:pPr>
            <w:r>
              <w:t xml:space="preserve">1,200,000 / month</w:t>
            </w:r>
          </w:p>
        </w:tc>
        <w:tc>
          <w:tcPr/>
          <w:p>
            <w:pPr>
              <w:pStyle w:val="Compact"/>
              <w:jc w:val="left"/>
            </w:pPr>
            <w:r>
              <w:t xml:space="preserve">14,400,000</w:t>
            </w:r>
          </w:p>
        </w:tc>
      </w:tr>
      <w:tr>
        <w:tc>
          <w:tcPr/>
          <w:p>
            <w:pPr>
              <w:pStyle w:val="Compact"/>
              <w:jc w:val="left"/>
            </w:pPr>
            <w:r>
              <w:t xml:space="preserve">8</w:t>
            </w:r>
          </w:p>
        </w:tc>
        <w:tc>
          <w:tcPr/>
          <w:p>
            <w:pPr>
              <w:pStyle w:val="Compact"/>
              <w:jc w:val="left"/>
            </w:pPr>
            <w:r>
              <w:t xml:space="preserve">Consumable parts, calibration standards, and testing equipment (estimated)</w:t>
            </w:r>
          </w:p>
        </w:tc>
        <w:tc>
          <w:tcPr/>
          <w:p>
            <w:pPr>
              <w:pStyle w:val="Compact"/>
              <w:jc w:val="left"/>
            </w:pPr>
            <w:r>
              <w:t xml:space="preserve">12 months</w:t>
            </w:r>
          </w:p>
        </w:tc>
        <w:tc>
          <w:tcPr/>
          <w:p>
            <w:pPr>
              <w:pStyle w:val="Compact"/>
              <w:jc w:val="left"/>
            </w:pPr>
            <w:r>
              <w:t xml:space="preserve">2,000,000 / month</w:t>
            </w:r>
          </w:p>
        </w:tc>
        <w:tc>
          <w:tcPr/>
          <w:p>
            <w:pPr>
              <w:pStyle w:val="Compact"/>
              <w:jc w:val="left"/>
            </w:pPr>
            <w:r>
              <w:t xml:space="preserve">24,000,000</w:t>
            </w:r>
          </w:p>
        </w:tc>
      </w:tr>
      <w:tr>
        <w:tc>
          <w:tcPr>
            <w:gridSpan w:val="4"/>
          </w:tcPr>
          <w:p>
            <w:pPr>
              <w:pStyle w:val="Compact"/>
              <w:jc w:val="right"/>
            </w:pPr>
            <w:r>
              <w:t xml:space="preserve">Subtotal (MMK)</w:t>
            </w:r>
          </w:p>
        </w:tc>
        <w:tc>
          <w:tcPr/>
          <w:p>
            <w:pPr>
              <w:pStyle w:val="Compact"/>
              <w:jc w:val="left"/>
            </w:pPr>
            <w:r>
              <w:t xml:space="preserve">140,000,000</w:t>
            </w:r>
          </w:p>
        </w:tc>
      </w:tr>
      <w:tr>
        <w:tc>
          <w:tcPr>
            <w:gridSpan w:val="4"/>
          </w:tcPr>
          <w:p>
            <w:pPr>
              <w:pStyle w:val="Compact"/>
              <w:jc w:val="right"/>
            </w:pPr>
            <w:r>
              <w:t xml:space="preserve">VAT (5% — Myanmar standard rate)</w:t>
            </w:r>
          </w:p>
        </w:tc>
        <w:tc>
          <w:tcPr/>
          <w:p>
            <w:pPr>
              <w:pStyle w:val="Compact"/>
              <w:jc w:val="left"/>
            </w:pPr>
            <w:r>
              <w:t xml:space="preserve">7,000,000</w:t>
            </w:r>
          </w:p>
        </w:tc>
      </w:tr>
      <w:tr>
        <w:tc>
          <w:tcPr>
            <w:gridSpan w:val="4"/>
          </w:tcPr>
          <w:p>
            <w:pPr>
              <w:pStyle w:val="Compact"/>
              <w:jc w:val="right"/>
            </w:pPr>
            <w:r>
              <w:t xml:space="preserve">TOTAL ESTIMATED COST (MMK)</w:t>
            </w:r>
          </w:p>
        </w:tc>
        <w:tc>
          <w:tcPr/>
          <w:p>
            <w:pPr>
              <w:pStyle w:val="Compact"/>
              <w:jc w:val="left"/>
            </w:pPr>
            <w:r>
              <w:t xml:space="preserve">147,000,000</w:t>
            </w:r>
          </w:p>
        </w:tc>
      </w:tr>
      <w:tr>
        <w:tc>
          <w:tcPr>
            <w:gridSpan w:val="4"/>
          </w:tcPr>
          <w:p>
            <w:pPr>
              <w:pStyle w:val="Compact"/>
              <w:jc w:val="right"/>
            </w:pPr>
            <w:r>
              <w:t xml:space="preserve">TOTAL ESTIMATED COST (USD, approx. at 2,100 MMK/USD)</w:t>
            </w:r>
          </w:p>
        </w:tc>
        <w:tc>
          <w:tcPr/>
          <w:p>
            <w:pPr>
              <w:pStyle w:val="Compact"/>
              <w:jc w:val="left"/>
            </w:pPr>
            <w:r>
              <w:t xml:space="preserve">~70,000 USD</w:t>
            </w:r>
          </w:p>
        </w:tc>
      </w:tr>
    </w:tbl>
    <w:bookmarkEnd w:id="26"/>
    <w:bookmarkStart w:id="27"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(MMK)</w:t>
            </w:r>
          </w:p>
        </w:tc>
        <w:tc>
          <w:tcPr/>
          <w:p>
            <w:pPr>
              <w:pStyle w:val="Compact"/>
              <w:jc w:val="left"/>
            </w:pPr>
            <w:r>
              <w:t xml:space="preserve">Due Date</w:t>
            </w:r>
          </w:p>
        </w:tc>
      </w:tr>
      <w:tr>
        <w:tc>
          <w:tcPr/>
          <w:p>
            <w:pPr>
              <w:pStyle w:val="Compact"/>
              <w:jc w:val="left"/>
            </w:pPr>
            <w:r>
              <w:t xml:space="preserve">Contract signing and mobilization</w:t>
            </w:r>
          </w:p>
        </w:tc>
        <w:tc>
          <w:tcPr/>
          <w:p>
            <w:pPr>
              <w:pStyle w:val="Compact"/>
              <w:jc w:val="left"/>
            </w:pPr>
            <w:r>
              <w:t xml:space="preserve">20%</w:t>
            </w:r>
          </w:p>
        </w:tc>
        <w:tc>
          <w:tcPr/>
          <w:p>
            <w:pPr>
              <w:pStyle w:val="Compact"/>
              <w:jc w:val="left"/>
            </w:pPr>
            <w:r>
              <w:t xml:space="preserve">29,400,000</w:t>
            </w:r>
          </w:p>
        </w:tc>
        <w:tc>
          <w:tcPr/>
          <w:p>
            <w:pPr>
              <w:pStyle w:val="Compact"/>
              <w:jc w:val="left"/>
            </w:pPr>
            <w:r>
              <w:t xml:space="preserve">Within 7 days of contract execution</w:t>
            </w:r>
          </w:p>
        </w:tc>
      </w:tr>
      <w:tr>
        <w:tc>
          <w:tcPr/>
          <w:p>
            <w:pPr>
              <w:pStyle w:val="Compact"/>
              <w:jc w:val="left"/>
            </w:pPr>
            <w:r>
              <w:t xml:space="preserve">Completion of installation and commissioning phase</w:t>
            </w:r>
          </w:p>
        </w:tc>
        <w:tc>
          <w:tcPr/>
          <w:p>
            <w:pPr>
              <w:pStyle w:val="Compact"/>
              <w:jc w:val="left"/>
            </w:pPr>
            <w:r>
              <w:t xml:space="preserve">30%</w:t>
            </w:r>
          </w:p>
        </w:tc>
        <w:tc>
          <w:tcPr/>
          <w:p>
            <w:pPr>
              <w:pStyle w:val="Compact"/>
              <w:jc w:val="left"/>
            </w:pPr>
            <w:r>
              <w:t xml:space="preserve">44,100,000</w:t>
            </w:r>
          </w:p>
        </w:tc>
        <w:tc>
          <w:tcPr/>
          <w:p>
            <w:pPr>
              <w:pStyle w:val="Compact"/>
              <w:jc w:val="left"/>
            </w:pPr>
            <w:r>
              <w:t xml:space="preserve">Upon acceptance sign-off</w:t>
            </w:r>
          </w:p>
        </w:tc>
      </w:tr>
      <w:tr>
        <w:tc>
          <w:tcPr/>
          <w:p>
            <w:pPr>
              <w:pStyle w:val="Compact"/>
              <w:jc w:val="left"/>
            </w:pPr>
            <w:r>
              <w:t xml:space="preserve">Quarterly maintenance progress (Q1 – Q4)</w:t>
            </w:r>
          </w:p>
        </w:tc>
        <w:tc>
          <w:tcPr/>
          <w:p>
            <w:pPr>
              <w:pStyle w:val="Compact"/>
              <w:jc w:val="left"/>
            </w:pPr>
            <w:r>
              <w:t xml:space="preserve">40% (10% per quarter)</w:t>
            </w:r>
          </w:p>
        </w:tc>
        <w:tc>
          <w:tcPr/>
          <w:p>
            <w:pPr>
              <w:pStyle w:val="Compact"/>
              <w:jc w:val="left"/>
            </w:pPr>
            <w:r>
              <w:t xml:space="preserve">58,800,000</w:t>
            </w:r>
          </w:p>
        </w:tc>
        <w:tc>
          <w:tcPr/>
          <w:p>
            <w:pPr>
              <w:pStyle w:val="Compact"/>
              <w:jc w:val="left"/>
            </w:pPr>
            <w:r>
              <w:t xml:space="preserve">End of each calendar quarter</w:t>
            </w:r>
          </w:p>
        </w:tc>
      </w:tr>
      <w:tr>
        <w:tc>
          <w:tcPr/>
          <w:p>
            <w:pPr>
              <w:pStyle w:val="Compact"/>
              <w:jc w:val="left"/>
            </w:pPr>
            <w:r>
              <w:t xml:space="preserve">Final annual audit report delivery</w:t>
            </w:r>
          </w:p>
        </w:tc>
        <w:tc>
          <w:tcPr/>
          <w:p>
            <w:pPr>
              <w:pStyle w:val="Compact"/>
              <w:jc w:val="left"/>
            </w:pPr>
            <w:r>
              <w:t xml:space="preserve">10%</w:t>
            </w:r>
          </w:p>
        </w:tc>
        <w:tc>
          <w:tcPr/>
          <w:p>
            <w:pPr>
              <w:pStyle w:val="Compact"/>
              <w:jc w:val="left"/>
            </w:pPr>
            <w:r>
              <w:t xml:space="preserve">14,700,000</w:t>
            </w:r>
          </w:p>
        </w:tc>
        <w:tc>
          <w:tcPr/>
          <w:p>
            <w:pPr>
              <w:pStyle w:val="Compact"/>
              <w:jc w:val="left"/>
            </w:pPr>
            <w:r>
              <w:t xml:space="preserve">Within 15 days of report submission</w:t>
            </w:r>
          </w:p>
        </w:tc>
      </w:tr>
    </w:tbl>
    <w:bookmarkEnd w:id="27"/>
    <w:bookmarkStart w:id="28"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market fluctuations in Myanmar Yangon.</w:t>
      </w:r>
    </w:p>
    <w:p>
      <w:pPr>
        <w:numPr>
          <w:ilvl w:val="0"/>
          <w:numId w:val="1002"/>
        </w:numPr>
        <w:pStyle w:val="Compact"/>
      </w:pPr>
      <w:r>
        <w:t xml:space="preserve">All services shall be performed by qualified</w:t>
      </w:r>
      <w:r>
        <w:t xml:space="preserve"> </w:t>
      </w:r>
      <w:r>
        <w:t xml:space="preserve">Biomedical Engineer</w:t>
      </w:r>
      <w:r>
        <w:t xml:space="preserve"> </w:t>
      </w:r>
      <w:r>
        <w:t xml:space="preserve">professionals holding valid certifications recognized by the Myanmar Engineering Council and relevant international bodies (e.g., IFBBE, EBIO).</w:t>
      </w:r>
    </w:p>
    <w:p>
      <w:pPr>
        <w:numPr>
          <w:ilvl w:val="0"/>
          <w:numId w:val="1002"/>
        </w:numPr>
        <w:pStyle w:val="Compact"/>
      </w:pPr>
      <w:r>
        <w:t xml:space="preserve">The client shall provide safe working access to all equipment locations within the Myanmar Yangon facility premises, including necessary permits and safety clearances.</w:t>
      </w:r>
    </w:p>
    <w:p>
      <w:pPr>
        <w:numPr>
          <w:ilvl w:val="0"/>
          <w:numId w:val="1002"/>
        </w:numPr>
        <w:pStyle w:val="Compact"/>
      </w:pPr>
      <w:r>
        <w:t xml:space="preserve">Any work outside the defined scope of this Quotation Estimate shall be subject to a separate written amendment and additional cost approval by both parties.</w:t>
      </w:r>
    </w:p>
    <w:p>
      <w:pPr>
        <w:numPr>
          <w:ilvl w:val="0"/>
          <w:numId w:val="1002"/>
        </w:numPr>
        <w:pStyle w:val="Compact"/>
      </w:pPr>
      <w:r>
        <w:t xml:space="preserve">Confidentiality: All patient data, hospital operational information, and proprietary technical documents encountered during the engagement shall be treated as strictly confidential and shall not be disclosed to any third party.</w:t>
      </w:r>
    </w:p>
    <w:p>
      <w:pPr>
        <w:numPr>
          <w:ilvl w:val="0"/>
          <w:numId w:val="1002"/>
        </w:numPr>
        <w:pStyle w:val="Compact"/>
      </w:pPr>
      <w:r>
        <w:t xml:space="preserve">Dispute resolution shall be governed by the laws of the Republic of the Union of Myanmar, with arbitration to be conducted in Yangon under the Myanmar Arbitration Centre.</w:t>
      </w:r>
    </w:p>
    <w:p>
      <w:pPr>
        <w:numPr>
          <w:ilvl w:val="0"/>
          <w:numId w:val="1002"/>
        </w:numPr>
        <w:pStyle w:val="Compact"/>
      </w:pPr>
      <w:r>
        <w:t xml:space="preserve">This Quotation Estimate does not constitute a binding contract until a formal service agreement is executed by authorized representatives of both parties.</w:t>
      </w:r>
    </w:p>
    <w:bookmarkEnd w:id="28"/>
    <w:bookmarkStart w:id="29"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Biomedical Engineer</w:t>
      </w:r>
      <w:r>
        <w:t xml:space="preserve"> </w:t>
      </w:r>
      <w:r>
        <w:t xml:space="preserve">services in</w:t>
      </w:r>
      <w:r>
        <w:t xml:space="preserve"> </w:t>
      </w:r>
      <w:r>
        <w:t xml:space="preserve">Myanmar Yangon</w:t>
      </w:r>
      <w:r>
        <w:t xml:space="preserve"> </w:t>
      </w:r>
      <w:r>
        <w:t xml:space="preserve">and agrees to the terms, conditions, and pricing outlined herein. This acceptance authorizes the provider to proceed with mobilization upon receipt of the initial payment installment.</w:t>
      </w:r>
    </w:p>
    <w:p>
      <w:pPr>
        <w:pStyle w:val="BodyText"/>
      </w:pPr>
      <w:r>
        <w:rPr>
          <w:bCs/>
          <w:b/>
        </w:rPr>
        <w:t xml:space="preserve">For and on behalf of:</w:t>
      </w:r>
      <w:r>
        <w:br/>
      </w:r>
      <w:r>
        <w:t xml:space="preserve">Yangon MedTech Solutions Co., Ltd.</w:t>
      </w:r>
    </w:p>
    <w:p>
      <w:pPr>
        <w:pStyle w:val="BodyText"/>
      </w:pPr>
      <w:r>
        <w:t xml:space="preserve">Name: U Thura Win Naing</w:t>
      </w:r>
      <w:r>
        <w:br/>
      </w:r>
      <w:r>
        <w:t xml:space="preserve">Title: Managing Director</w:t>
      </w:r>
      <w:r>
        <w:br/>
      </w:r>
      <w:r>
        <w:t xml:space="preserve">Date: _______________</w:t>
      </w:r>
    </w:p>
    <w:p>
      <w:pPr>
        <w:pStyle w:val="BodyText"/>
      </w:pPr>
      <w:r>
        <w:rPr>
          <w:bCs/>
          <w:b/>
        </w:rPr>
        <w:t xml:space="preserve">For and on behalf of:</w:t>
      </w:r>
      <w:r>
        <w:br/>
      </w:r>
      <w:r>
        <w:t xml:space="preserve">Yangon General Hospital — Medical Equipment Division</w:t>
      </w:r>
    </w:p>
    <w:p>
      <w:pPr>
        <w:pStyle w:val="BodyText"/>
      </w:pPr>
      <w:r>
        <w:t xml:space="preserve">Name: Dr. Aung Kyaw Min</w:t>
      </w:r>
      <w:r>
        <w:br/>
      </w:r>
      <w:r>
        <w:t xml:space="preserve">Title: Chief of Biomedical Engineering</w:t>
      </w:r>
      <w:r>
        <w:br/>
      </w:r>
      <w:r>
        <w:t xml:space="preserve">Date: _______________</w:t>
      </w:r>
    </w:p>
    <w:p>
      <w:pPr>
        <w:pStyle w:val="BodyText"/>
      </w:pPr>
      <w:r>
        <w:t xml:space="preserve">This Quotation Estimate document (Ref: QTE-BME-2025-0047) was prepared exclusively for the client named above and is not transferable. All rates are inclusive of travel within Myanmar Yangon city limits. For inquiries, please contact Yangon MedTech Solutions Co., Ltd. at quotations@yangonmedtech.mm or +95-9-790-123-456.</w:t>
      </w:r>
    </w:p>
    <w:p>
      <w:pPr>
        <w:pStyle w:val="BodyText"/>
      </w:pPr>
      <w:r>
        <w:t xml:space="preserve">© 2025 Yangon MedTech Solutions Co., Ltd.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Myanmar Yangon</dc:title>
  <dc:creator/>
  <dc:language>en</dc:language>
  <cp:keywords/>
  <dcterms:created xsi:type="dcterms:W3CDTF">2026-10-10T07:57:49Z</dcterms:created>
  <dcterms:modified xsi:type="dcterms:W3CDTF">2026-10-10T07:57:49Z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