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quotation-estimate"/>
    <w:p>
      <w:pPr>
        <w:pStyle w:val="Heading1"/>
      </w:pPr>
      <w:r>
        <w:t xml:space="preserve">Quotation Estimate</w:t>
      </w:r>
    </w:p>
    <w:p>
      <w:pPr>
        <w:pStyle w:val="FirstParagraph"/>
      </w:pPr>
      <w:r>
        <w:rPr>
          <w:bCs/>
          <w:b/>
        </w:rPr>
        <w:t xml:space="preserve">MedTech Solutions B.V.</w:t>
      </w:r>
    </w:p>
    <w:p>
      <w:pPr>
        <w:pStyle w:val="BodyText"/>
      </w:pPr>
      <w:r>
        <w:t xml:space="preserve">Keizersgracht 420, 1016 GC Amsterdam, Netherlands</w:t>
      </w:r>
    </w:p>
    <w:p>
      <w:pPr>
        <w:pStyle w:val="BodyText"/>
      </w:pPr>
      <w:r>
        <w:t xml:space="preserve">Tel: +31 (0)20 555 0142 | Email: quotations@medtechsolutions.nl</w:t>
      </w:r>
    </w:p>
    <w:p>
      <w:pPr>
        <w:pStyle w:val="BodyText"/>
      </w:pPr>
      <w:r>
        <w:t xml:space="preserve">KvK: 87654321 | BTW: NL861234567B01</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QE-2025-AM-0347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Project Location:</w:t>
      </w:r>
      <w:r>
        <w:t xml:space="preserve"> </w:t>
      </w:r>
      <w:r>
        <w:t xml:space="preserve">Netherlands Amsterdam</w:t>
      </w:r>
    </w:p>
    <w:bookmarkEnd w:id="21"/>
    <w:bookmarkStart w:id="22" w:name="client-information"/>
    <w:p>
      <w:pPr>
        <w:pStyle w:val="Heading3"/>
      </w:pPr>
      <w:r>
        <w:t xml:space="preserve">Client Information</w:t>
      </w:r>
    </w:p>
    <w:p>
      <w:pPr>
        <w:pStyle w:val="FirstParagraph"/>
      </w:pPr>
      <w:r>
        <w:rPr>
          <w:bCs/>
          <w:b/>
        </w:rPr>
        <w:t xml:space="preserve">Client:</w:t>
      </w:r>
      <w:r>
        <w:t xml:space="preserve"> </w:t>
      </w:r>
      <w:r>
        <w:t xml:space="preserve">Amsterdam UMC – Location VUmc</w:t>
      </w:r>
    </w:p>
    <w:p>
      <w:pPr>
        <w:pStyle w:val="BodyText"/>
      </w:pPr>
      <w:r>
        <w:rPr>
          <w:bCs/>
          <w:b/>
        </w:rPr>
        <w:t xml:space="preserve">Department:</w:t>
      </w:r>
      <w:r>
        <w:t xml:space="preserve"> </w:t>
      </w:r>
      <w:r>
        <w:t xml:space="preserve">Clinical Engineering &amp; Medical Technology</w:t>
      </w:r>
    </w:p>
    <w:p>
      <w:pPr>
        <w:pStyle w:val="BodyText"/>
      </w:pPr>
      <w:r>
        <w:rPr>
          <w:bCs/>
          <w:b/>
        </w:rPr>
        <w:t xml:space="preserve">Address:</w:t>
      </w:r>
      <w:r>
        <w:t xml:space="preserve"> </w:t>
      </w:r>
      <w:r>
        <w:t xml:space="preserve">De Boelelaan 1117, 1081 HV Amsterdam, Netherlands</w:t>
      </w:r>
    </w:p>
    <w:p>
      <w:pPr>
        <w:pStyle w:val="BodyText"/>
      </w:pPr>
      <w:r>
        <w:rPr>
          <w:bCs/>
          <w:b/>
        </w:rPr>
        <w:t xml:space="preserve">Contact:</w:t>
      </w:r>
      <w:r>
        <w:t xml:space="preserve"> </w:t>
      </w:r>
      <w:r>
        <w:t xml:space="preserve">Dr. J. van der Berg, Head of Biomedical Engineering</w:t>
      </w:r>
    </w:p>
    <w:bookmarkEnd w:id="22"/>
    <w:bookmarkStart w:id="23" w:name="Xa7f1faa461b03cc210eb26f9b04e497671c78c1"/>
    <w:p>
      <w:pPr>
        <w:pStyle w:val="Heading2"/>
      </w:pPr>
      <w:r>
        <w:t xml:space="preserve">1. Scope of Work – Biomedical Engineer Services</w:t>
      </w:r>
    </w:p>
    <w:p>
      <w:pPr>
        <w:pStyle w:val="FirstParagraph"/>
      </w:pPr>
      <w:r>
        <w:t xml:space="preserve">This</w:t>
      </w:r>
      <w:r>
        <w:t xml:space="preserve"> </w:t>
      </w:r>
      <w:r>
        <w:t xml:space="preserve">Quotation Estimate</w:t>
      </w:r>
      <w:r>
        <w:t xml:space="preserve"> </w:t>
      </w:r>
      <w:r>
        <w:t xml:space="preserve">is issued by MedTech Solutions B.V. to provide comprehensive</w:t>
      </w:r>
      <w:r>
        <w:t xml:space="preserve"> </w:t>
      </w:r>
      <w:r>
        <w:t xml:space="preserve">Biomedical Engineer</w:t>
      </w:r>
      <w:r>
        <w:t xml:space="preserve"> </w:t>
      </w:r>
      <w:r>
        <w:t xml:space="preserve">professional services for the clinical engineering department at Amsterdam UMC, located in</w:t>
      </w:r>
      <w:r>
        <w:t xml:space="preserve"> </w:t>
      </w:r>
      <w:r>
        <w:t xml:space="preserve">Netherlands Amsterdam</w:t>
      </w:r>
      <w:r>
        <w:t xml:space="preserve">. The scope encompasses the full lifecycle management of medical devices, diagnostic equipment, and therapeutic systems deployed across the hospital's multiple wards and specialized units. Our</w:t>
      </w:r>
      <w:r>
        <w:t xml:space="preserve"> </w:t>
      </w:r>
      <w:r>
        <w:t xml:space="preserve">Biomedical Engineer</w:t>
      </w:r>
      <w:r>
        <w:t xml:space="preserve"> </w:t>
      </w:r>
      <w:r>
        <w:t xml:space="preserve">team will ensure full compliance with Dutch healthcare regulations, including the Medical Devices Regulation (MDR) 2017/745 as implemented in the Netherlands, as well as the requirements set forth by the Inspectie Gezondheidszorg en Jeugd (IGJ).</w:t>
      </w:r>
    </w:p>
    <w:p>
      <w:pPr>
        <w:pStyle w:val="BodyText"/>
      </w:pPr>
      <w:r>
        <w:t xml:space="preserve">The</w:t>
      </w:r>
      <w:r>
        <w:t xml:space="preserve"> </w:t>
      </w:r>
      <w:r>
        <w:t xml:space="preserve">Biomedical Engineer</w:t>
      </w:r>
      <w:r>
        <w:t xml:space="preserve"> </w:t>
      </w:r>
      <w:r>
        <w:t xml:space="preserve">engagement will cover the following core activities: preventive maintenance scheduling and execution for over 1,200 medical devices; calibration and verification of diagnostic imaging equipment (MRI, CT, ultrasound, and X-ray systems); troubleshooting and repair of critical care monitoring systems; software updates and firmware management for networked medical devices; risk assessment and safety inspections in accordance with NEN-EN 62353; and the development of a comprehensive asset management database for the</w:t>
      </w:r>
      <w:r>
        <w:t xml:space="preserve"> </w:t>
      </w:r>
      <w:r>
        <w:t xml:space="preserve">Netherlands Amsterdam</w:t>
      </w:r>
      <w:r>
        <w:t xml:space="preserve"> </w:t>
      </w:r>
      <w:r>
        <w:t xml:space="preserve">facility.</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Biomedical Engineer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Senior Biomedical Engineer – Full-time on-site support for clinical engineering operations in Netherlands Amsterdam</w:t>
            </w:r>
          </w:p>
        </w:tc>
        <w:tc>
          <w:tcPr/>
          <w:p>
            <w:pPr>
              <w:pStyle w:val="Compact"/>
              <w:jc w:val="left"/>
            </w:pPr>
            <w:r>
              <w:t xml:space="preserve">12 months</w:t>
            </w:r>
          </w:p>
        </w:tc>
        <w:tc>
          <w:tcPr/>
          <w:p>
            <w:pPr>
              <w:pStyle w:val="Compact"/>
              <w:jc w:val="left"/>
            </w:pPr>
            <w:r>
              <w:t xml:space="preserve">€78,500 / yr</w:t>
            </w:r>
          </w:p>
        </w:tc>
        <w:tc>
          <w:tcPr/>
          <w:p>
            <w:pPr>
              <w:pStyle w:val="Compact"/>
              <w:jc w:val="left"/>
            </w:pPr>
            <w:r>
              <w:t xml:space="preserve">€78,500.00</w:t>
            </w:r>
          </w:p>
        </w:tc>
        <w:tc>
          <w:tcPr/>
          <w:p>
            <w:pPr>
              <w:pStyle w:val="Compact"/>
              <w:jc w:val="left"/>
            </w:pPr>
            <w:r>
              <w:t xml:space="preserve">Includes statutory Dutch employment costs</w:t>
            </w:r>
          </w:p>
        </w:tc>
      </w:tr>
      <w:tr>
        <w:tc>
          <w:tcPr/>
          <w:p>
            <w:pPr>
              <w:pStyle w:val="Compact"/>
              <w:jc w:val="left"/>
            </w:pPr>
            <w:r>
              <w:t xml:space="preserve">02</w:t>
            </w:r>
          </w:p>
        </w:tc>
        <w:tc>
          <w:tcPr/>
          <w:p>
            <w:pPr>
              <w:pStyle w:val="Compact"/>
              <w:jc w:val="left"/>
            </w:pPr>
            <w:r>
              <w:t xml:space="preserve">Junior Biomedical Engineer – Device maintenance, calibration, and inventory management</w:t>
            </w:r>
          </w:p>
        </w:tc>
        <w:tc>
          <w:tcPr/>
          <w:p>
            <w:pPr>
              <w:pStyle w:val="Compact"/>
              <w:jc w:val="left"/>
            </w:pPr>
            <w:r>
              <w:t xml:space="preserve">12 months</w:t>
            </w:r>
          </w:p>
        </w:tc>
        <w:tc>
          <w:tcPr/>
          <w:p>
            <w:pPr>
              <w:pStyle w:val="Compact"/>
              <w:jc w:val="left"/>
            </w:pPr>
            <w:r>
              <w:t xml:space="preserve">€52,000 / yr</w:t>
            </w:r>
          </w:p>
        </w:tc>
        <w:tc>
          <w:tcPr/>
          <w:p>
            <w:pPr>
              <w:pStyle w:val="Compact"/>
              <w:jc w:val="left"/>
            </w:pPr>
            <w:r>
              <w:t xml:space="preserve">€52,000.00</w:t>
            </w:r>
          </w:p>
        </w:tc>
        <w:tc>
          <w:tcPr/>
          <w:p>
            <w:pPr>
              <w:pStyle w:val="Compact"/>
              <w:jc w:val="left"/>
            </w:pPr>
            <w:r>
              <w:t xml:space="preserve">2 FTE equivalent</w:t>
            </w:r>
          </w:p>
        </w:tc>
      </w:tr>
      <w:tr>
        <w:tc>
          <w:tcPr/>
          <w:p>
            <w:pPr>
              <w:pStyle w:val="Compact"/>
              <w:jc w:val="left"/>
            </w:pPr>
            <w:r>
              <w:t xml:space="preserve">03</w:t>
            </w:r>
          </w:p>
        </w:tc>
        <w:tc>
          <w:tcPr/>
          <w:p>
            <w:pPr>
              <w:pStyle w:val="Compact"/>
              <w:jc w:val="left"/>
            </w:pPr>
            <w:r>
              <w:t xml:space="preserve">Preventive Maintenance Program – Design, implementation, and quarterly execution for 1,200+ devices</w:t>
            </w:r>
          </w:p>
        </w:tc>
        <w:tc>
          <w:tcPr/>
          <w:p>
            <w:pPr>
              <w:pStyle w:val="Compact"/>
              <w:jc w:val="left"/>
            </w:pPr>
            <w:r>
              <w:t xml:space="preserve">12 months</w:t>
            </w:r>
          </w:p>
        </w:tc>
        <w:tc>
          <w:tcPr/>
          <w:p>
            <w:pPr>
              <w:pStyle w:val="Compact"/>
              <w:jc w:val="left"/>
            </w:pPr>
            <w:r>
              <w:t xml:space="preserve">€34,000 / yr</w:t>
            </w:r>
          </w:p>
        </w:tc>
        <w:tc>
          <w:tcPr/>
          <w:p>
            <w:pPr>
              <w:pStyle w:val="Compact"/>
              <w:jc w:val="left"/>
            </w:pPr>
            <w:r>
              <w:t xml:space="preserve">€34,000.00</w:t>
            </w:r>
          </w:p>
        </w:tc>
        <w:tc>
          <w:tcPr/>
          <w:p>
            <w:pPr>
              <w:pStyle w:val="Compact"/>
              <w:jc w:val="left"/>
            </w:pPr>
            <w:r>
              <w:t xml:space="preserve">Per NEN-EN 62353 standards</w:t>
            </w:r>
          </w:p>
        </w:tc>
      </w:tr>
      <w:tr>
        <w:tc>
          <w:tcPr/>
          <w:p>
            <w:pPr>
              <w:pStyle w:val="Compact"/>
              <w:jc w:val="left"/>
            </w:pPr>
            <w:r>
              <w:t xml:space="preserve">04</w:t>
            </w:r>
          </w:p>
        </w:tc>
        <w:tc>
          <w:tcPr/>
          <w:p>
            <w:pPr>
              <w:pStyle w:val="Compact"/>
              <w:jc w:val="left"/>
            </w:pPr>
            <w:r>
              <w:t xml:space="preserve">Calibration &amp; Verification of Diagnostic Imaging Systems (MRI, CT, Ultrasound, X-ray)</w:t>
            </w:r>
          </w:p>
        </w:tc>
        <w:tc>
          <w:tcPr/>
          <w:p>
            <w:pPr>
              <w:pStyle w:val="Compact"/>
              <w:jc w:val="left"/>
            </w:pPr>
            <w:r>
              <w:t xml:space="preserve">12 months</w:t>
            </w:r>
          </w:p>
        </w:tc>
        <w:tc>
          <w:tcPr/>
          <w:p>
            <w:pPr>
              <w:pStyle w:val="Compact"/>
              <w:jc w:val="left"/>
            </w:pPr>
            <w:r>
              <w:t xml:space="preserve">€28,500 / yr</w:t>
            </w:r>
          </w:p>
        </w:tc>
        <w:tc>
          <w:tcPr/>
          <w:p>
            <w:pPr>
              <w:pStyle w:val="Compact"/>
              <w:jc w:val="left"/>
            </w:pPr>
            <w:r>
              <w:t xml:space="preserve">€28,500.00</w:t>
            </w:r>
          </w:p>
        </w:tc>
        <w:tc>
          <w:tcPr/>
          <w:p>
            <w:pPr>
              <w:pStyle w:val="Compact"/>
              <w:jc w:val="left"/>
            </w:pPr>
            <w:r>
              <w:t xml:space="preserve">Includes traceable certificates</w:t>
            </w:r>
          </w:p>
        </w:tc>
      </w:tr>
      <w:tr>
        <w:tc>
          <w:tcPr/>
          <w:p>
            <w:pPr>
              <w:pStyle w:val="Compact"/>
              <w:jc w:val="left"/>
            </w:pPr>
            <w:r>
              <w:t xml:space="preserve">05</w:t>
            </w:r>
          </w:p>
        </w:tc>
        <w:tc>
          <w:tcPr/>
          <w:p>
            <w:pPr>
              <w:pStyle w:val="Compact"/>
              <w:jc w:val="left"/>
            </w:pPr>
            <w:r>
              <w:t xml:space="preserve">Critical Care Monitoring System – Troubleshooting, repair, and 24/7 emergency response</w:t>
            </w:r>
          </w:p>
        </w:tc>
        <w:tc>
          <w:tcPr/>
          <w:p>
            <w:pPr>
              <w:pStyle w:val="Compact"/>
              <w:jc w:val="left"/>
            </w:pPr>
            <w:r>
              <w:t xml:space="preserve">12 months</w:t>
            </w:r>
          </w:p>
        </w:tc>
        <w:tc>
          <w:tcPr/>
          <w:p>
            <w:pPr>
              <w:pStyle w:val="Compact"/>
              <w:jc w:val="left"/>
            </w:pPr>
            <w:r>
              <w:t xml:space="preserve">€19,750 / yr</w:t>
            </w:r>
          </w:p>
        </w:tc>
        <w:tc>
          <w:tcPr/>
          <w:p>
            <w:pPr>
              <w:pStyle w:val="Compact"/>
              <w:jc w:val="left"/>
            </w:pPr>
            <w:r>
              <w:t xml:space="preserve">€19,750.00</w:t>
            </w:r>
          </w:p>
        </w:tc>
        <w:tc>
          <w:tcPr/>
          <w:p>
            <w:pPr>
              <w:pStyle w:val="Compact"/>
              <w:jc w:val="left"/>
            </w:pPr>
            <w:r>
              <w:t xml:space="preserve">4-hour response SLA in Amsterdam</w:t>
            </w:r>
          </w:p>
        </w:tc>
      </w:tr>
      <w:tr>
        <w:tc>
          <w:tcPr/>
          <w:p>
            <w:pPr>
              <w:pStyle w:val="Compact"/>
              <w:jc w:val="left"/>
            </w:pPr>
            <w:r>
              <w:t xml:space="preserve">06</w:t>
            </w:r>
          </w:p>
        </w:tc>
        <w:tc>
          <w:tcPr/>
          <w:p>
            <w:pPr>
              <w:pStyle w:val="Compact"/>
              <w:jc w:val="left"/>
            </w:pPr>
            <w:r>
              <w:t xml:space="preserve">Software &amp; Firmware Management – Updates, patching, and cybersecurity compliance for networked medical devices</w:t>
            </w:r>
          </w:p>
        </w:tc>
        <w:tc>
          <w:tcPr/>
          <w:p>
            <w:pPr>
              <w:pStyle w:val="Compact"/>
              <w:jc w:val="left"/>
            </w:pPr>
            <w:r>
              <w:t xml:space="preserve">12 months</w:t>
            </w:r>
          </w:p>
        </w:tc>
        <w:tc>
          <w:tcPr/>
          <w:p>
            <w:pPr>
              <w:pStyle w:val="Compact"/>
              <w:jc w:val="left"/>
            </w:pPr>
            <w:r>
              <w:t xml:space="preserve">€16,200 / yr</w:t>
            </w:r>
          </w:p>
        </w:tc>
        <w:tc>
          <w:tcPr/>
          <w:p>
            <w:pPr>
              <w:pStyle w:val="Compact"/>
              <w:jc w:val="left"/>
            </w:pPr>
            <w:r>
              <w:t xml:space="preserve">€16,200.00</w:t>
            </w:r>
          </w:p>
        </w:tc>
        <w:tc>
          <w:tcPr/>
          <w:p>
            <w:pPr>
              <w:pStyle w:val="Compact"/>
              <w:jc w:val="left"/>
            </w:pPr>
            <w:r>
              <w:t xml:space="preserve">Aligned with NEN 7510</w:t>
            </w:r>
          </w:p>
        </w:tc>
      </w:tr>
      <w:tr>
        <w:tc>
          <w:tcPr/>
          <w:p>
            <w:pPr>
              <w:pStyle w:val="Compact"/>
              <w:jc w:val="left"/>
            </w:pPr>
            <w:r>
              <w:t xml:space="preserve">07</w:t>
            </w:r>
          </w:p>
        </w:tc>
        <w:tc>
          <w:tcPr/>
          <w:p>
            <w:pPr>
              <w:pStyle w:val="Compact"/>
              <w:jc w:val="left"/>
            </w:pPr>
            <w:r>
              <w:t xml:space="preserve">Risk Assessment &amp; Safety Inspection – Annual comprehensive audit of all medical device installations</w:t>
            </w:r>
          </w:p>
        </w:tc>
        <w:tc>
          <w:tcPr/>
          <w:p>
            <w:pPr>
              <w:pStyle w:val="Compact"/>
              <w:jc w:val="left"/>
            </w:pPr>
            <w:r>
              <w:t xml:space="preserve">12 months</w:t>
            </w:r>
          </w:p>
        </w:tc>
        <w:tc>
          <w:tcPr/>
          <w:p>
            <w:pPr>
              <w:pStyle w:val="Compact"/>
              <w:jc w:val="left"/>
            </w:pPr>
            <w:r>
              <w:t xml:space="preserve">€12,800 / yr</w:t>
            </w:r>
          </w:p>
        </w:tc>
        <w:tc>
          <w:tcPr/>
          <w:p>
            <w:pPr>
              <w:pStyle w:val="Compact"/>
              <w:jc w:val="left"/>
            </w:pPr>
            <w:r>
              <w:t xml:space="preserve">€12,800.00</w:t>
            </w:r>
          </w:p>
        </w:tc>
        <w:tc>
          <w:tcPr/>
          <w:p>
            <w:pPr>
              <w:pStyle w:val="Compact"/>
              <w:jc w:val="left"/>
            </w:pPr>
            <w:r>
              <w:t xml:space="preserve">IGJ-compliant reporting</w:t>
            </w:r>
          </w:p>
        </w:tc>
      </w:tr>
      <w:tr>
        <w:tc>
          <w:tcPr/>
          <w:p>
            <w:pPr>
              <w:pStyle w:val="Compact"/>
              <w:jc w:val="left"/>
            </w:pPr>
            <w:r>
              <w:t xml:space="preserve">08</w:t>
            </w:r>
          </w:p>
        </w:tc>
        <w:tc>
          <w:tcPr/>
          <w:p>
            <w:pPr>
              <w:pStyle w:val="Compact"/>
              <w:jc w:val="left"/>
            </w:pPr>
            <w:r>
              <w:t xml:space="preserve">Asset Management Database – Development, migration, and ongoing maintenance of CMMS platform</w:t>
            </w:r>
          </w:p>
        </w:tc>
        <w:tc>
          <w:tcPr/>
          <w:p>
            <w:pPr>
              <w:pStyle w:val="Compact"/>
              <w:jc w:val="left"/>
            </w:pPr>
            <w:r>
              <w:t xml:space="preserve">12 months</w:t>
            </w:r>
          </w:p>
        </w:tc>
        <w:tc>
          <w:tcPr/>
          <w:p>
            <w:pPr>
              <w:pStyle w:val="Compact"/>
              <w:jc w:val="left"/>
            </w:pPr>
            <w:r>
              <w:t xml:space="preserve">€22,400 / yr</w:t>
            </w:r>
          </w:p>
        </w:tc>
        <w:tc>
          <w:tcPr/>
          <w:p>
            <w:pPr>
              <w:pStyle w:val="Compact"/>
              <w:jc w:val="left"/>
            </w:pPr>
            <w:r>
              <w:t xml:space="preserve">€22,400.00</w:t>
            </w:r>
          </w:p>
        </w:tc>
        <w:tc>
          <w:tcPr/>
          <w:p>
            <w:pPr>
              <w:pStyle w:val="Compact"/>
              <w:jc w:val="left"/>
            </w:pPr>
            <w:r>
              <w:t xml:space="preserve">Cloud-based, GDPR compliant</w:t>
            </w:r>
          </w:p>
        </w:tc>
      </w:tr>
      <w:tr>
        <w:tc>
          <w:tcPr/>
          <w:p>
            <w:pPr>
              <w:pStyle w:val="Compact"/>
              <w:jc w:val="left"/>
            </w:pPr>
            <w:r>
              <w:t xml:space="preserve">09</w:t>
            </w:r>
          </w:p>
        </w:tc>
        <w:tc>
          <w:tcPr/>
          <w:p>
            <w:pPr>
              <w:pStyle w:val="Compact"/>
              <w:jc w:val="left"/>
            </w:pPr>
            <w:r>
              <w:t xml:space="preserve">Training &amp; Knowledge Transfer – Biomedical Engineer staff training on new device protocols and regulatory updates</w:t>
            </w:r>
          </w:p>
        </w:tc>
        <w:tc>
          <w:tcPr/>
          <w:p>
            <w:pPr>
              <w:pStyle w:val="Compact"/>
              <w:jc w:val="left"/>
            </w:pPr>
            <w:r>
              <w:t xml:space="preserve">12 months</w:t>
            </w:r>
          </w:p>
        </w:tc>
        <w:tc>
          <w:tcPr/>
          <w:p>
            <w:pPr>
              <w:pStyle w:val="Compact"/>
              <w:jc w:val="left"/>
            </w:pPr>
            <w:r>
              <w:t xml:space="preserve">€8,600 / yr</w:t>
            </w:r>
          </w:p>
        </w:tc>
        <w:tc>
          <w:tcPr/>
          <w:p>
            <w:pPr>
              <w:pStyle w:val="Compact"/>
              <w:jc w:val="left"/>
            </w:pPr>
            <w:r>
              <w:t xml:space="preserve">€8,600.00</w:t>
            </w:r>
          </w:p>
        </w:tc>
        <w:tc>
          <w:tcPr/>
          <w:p>
            <w:pPr>
              <w:pStyle w:val="Compact"/>
              <w:jc w:val="left"/>
            </w:pPr>
            <w:r>
              <w:t xml:space="preserve">Quarterly sessions in Amsterdam</w:t>
            </w:r>
          </w:p>
        </w:tc>
      </w:tr>
      <w:tr>
        <w:tc>
          <w:tcPr/>
          <w:p>
            <w:pPr>
              <w:pStyle w:val="Compact"/>
              <w:jc w:val="left"/>
            </w:pPr>
            <w:r>
              <w:t xml:space="preserve">10</w:t>
            </w:r>
          </w:p>
        </w:tc>
        <w:tc>
          <w:tcPr/>
          <w:p>
            <w:pPr>
              <w:pStyle w:val="Compact"/>
              <w:jc w:val="left"/>
            </w:pPr>
            <w:r>
              <w:t xml:space="preserve">Project Management &amp; Reporting – Monthly progress reports, KPI dashboards, and stakeholder meetings</w:t>
            </w:r>
          </w:p>
        </w:tc>
        <w:tc>
          <w:tcPr/>
          <w:p>
            <w:pPr>
              <w:pStyle w:val="Compact"/>
              <w:jc w:val="left"/>
            </w:pPr>
            <w:r>
              <w:t xml:space="preserve">12 months</w:t>
            </w:r>
          </w:p>
        </w:tc>
        <w:tc>
          <w:tcPr/>
          <w:p>
            <w:pPr>
              <w:pStyle w:val="Compact"/>
              <w:jc w:val="left"/>
            </w:pPr>
            <w:r>
              <w:t xml:space="preserve">€14,250 / yr</w:t>
            </w:r>
          </w:p>
        </w:tc>
        <w:tc>
          <w:tcPr/>
          <w:p>
            <w:pPr>
              <w:pStyle w:val="Compact"/>
              <w:jc w:val="left"/>
            </w:pPr>
            <w:r>
              <w:t xml:space="preserve">€14,250.00</w:t>
            </w:r>
          </w:p>
        </w:tc>
        <w:tc>
          <w:tcPr/>
          <w:p>
            <w:pPr>
              <w:pStyle w:val="Compact"/>
              <w:jc w:val="left"/>
            </w:pPr>
            <w:r>
              <w:t xml:space="preserve">Bi-weekly on-site meetings</w:t>
            </w:r>
          </w:p>
        </w:tc>
      </w:tr>
      <w:tr>
        <w:tc>
          <w:tcPr>
            <w:gridSpan w:val="4"/>
          </w:tcPr>
          <w:p>
            <w:pPr>
              <w:pStyle w:val="Compact"/>
              <w:jc w:val="left"/>
            </w:pPr>
            <w:r>
              <w:t xml:space="preserve">Subtotal (excl. BTW/VAT)</w:t>
            </w:r>
          </w:p>
        </w:tc>
        <w:tc>
          <w:tcPr/>
          <w:p>
            <w:pPr>
              <w:pStyle w:val="Compact"/>
              <w:jc w:val="left"/>
            </w:pPr>
            <w:r>
              <w:t xml:space="preserve">€287,000.00</w:t>
            </w:r>
          </w:p>
        </w:tc>
        <w:tc>
          <w:tcPr/>
          <w:p>
            <w:pPr>
              <w:pStyle w:val="Compact"/>
            </w:pPr>
          </w:p>
        </w:tc>
      </w:tr>
      <w:tr>
        <w:tc>
          <w:tcPr>
            <w:gridSpan w:val="4"/>
          </w:tcPr>
          <w:p>
            <w:pPr>
              <w:pStyle w:val="Compact"/>
              <w:jc w:val="left"/>
            </w:pPr>
            <w:r>
              <w:t xml:space="preserve">BTW / VAT (21%)</w:t>
            </w:r>
          </w:p>
        </w:tc>
        <w:tc>
          <w:tcPr/>
          <w:p>
            <w:pPr>
              <w:pStyle w:val="Compact"/>
              <w:jc w:val="left"/>
            </w:pPr>
            <w:r>
              <w:t xml:space="preserve">€60,270.00</w:t>
            </w:r>
          </w:p>
        </w:tc>
        <w:tc>
          <w:tcPr/>
          <w:p>
            <w:pPr>
              <w:pStyle w:val="Compact"/>
            </w:pPr>
          </w:p>
        </w:tc>
      </w:tr>
      <w:tr>
        <w:tc>
          <w:tcPr>
            <w:gridSpan w:val="4"/>
          </w:tcPr>
          <w:p>
            <w:pPr>
              <w:pStyle w:val="Compact"/>
              <w:jc w:val="left"/>
            </w:pPr>
            <w:r>
              <w:t xml:space="preserve">TOTAL AMOUNT (incl. BTW/VAT)</w:t>
            </w:r>
          </w:p>
        </w:tc>
        <w:tc>
          <w:tcPr/>
          <w:p>
            <w:pPr>
              <w:pStyle w:val="Compact"/>
              <w:jc w:val="left"/>
            </w:pPr>
            <w:r>
              <w:t xml:space="preserve">€347,270.00</w:t>
            </w:r>
          </w:p>
        </w:tc>
        <w:tc>
          <w:tcPr/>
          <w:p>
            <w:pPr>
              <w:pStyle w:val="Compact"/>
            </w:pPr>
          </w:p>
        </w:tc>
      </w:tr>
    </w:tbl>
    <w:p>
      <w:pPr>
        <w:pStyle w:val="BodyText"/>
      </w:pPr>
      <w:r>
        <w:rPr>
          <w:bCs/>
          <w:b/>
        </w:rPr>
        <w:t xml:space="preserve">Note:</w:t>
      </w:r>
      <w:r>
        <w:t xml:space="preserve"> </w:t>
      </w:r>
      <w:r>
        <w:t xml:space="preserve">This Quotation Estimate is valid for a period of 90 calendar days from the date of issue. All rates are quoted in Euros (EUR) and are subject to revision upon contract renewal. The Biomedical Engineer personnel costs include all statutory Dutch employment obligations, including pension contributions, holiday allowance, and social insurance as mandated by the Netherlands Labour Act (Wet arbeidsvoorwaarden).</w:t>
      </w:r>
    </w:p>
    <w:bookmarkEnd w:id="24"/>
    <w:bookmarkStart w:id="25" w:name="terms-and-conditions"/>
    <w:p>
      <w:pPr>
        <w:pStyle w:val="Heading2"/>
      </w:pPr>
      <w:r>
        <w:t xml:space="preserve">3. Terms and Conditions</w:t>
      </w:r>
    </w:p>
    <w:p>
      <w:pPr>
        <w:numPr>
          <w:ilvl w:val="0"/>
          <w:numId w:val="1001"/>
        </w:numPr>
        <w:pStyle w:val="Compact"/>
      </w:pPr>
      <w:r>
        <w:rPr>
          <w:bCs/>
          <w:b/>
        </w:rPr>
        <w:t xml:space="preserve">Validity:</w:t>
      </w:r>
      <w:r>
        <w:t xml:space="preserve"> </w:t>
      </w:r>
      <w:r>
        <w:t xml:space="preserve">This Quotation Estimate (QE-2025-AM-0347) remains valid for 90 days from the date of issue. After this period, pricing for the Biomedical Engineer services may be subject to revision based on market conditions in the Netherlands Amsterdam region.</w:t>
      </w:r>
    </w:p>
    <w:p>
      <w:pPr>
        <w:numPr>
          <w:ilvl w:val="0"/>
          <w:numId w:val="1001"/>
        </w:numPr>
        <w:pStyle w:val="Compact"/>
      </w:pPr>
      <w:r>
        <w:rPr>
          <w:bCs/>
          <w:b/>
        </w:rPr>
        <w:t xml:space="preserve">Payment Terms:</w:t>
      </w:r>
      <w:r>
        <w:t xml:space="preserve"> </w:t>
      </w:r>
      <w:r>
        <w:t xml:space="preserve">Invoices will be issued monthly in arrears. Payment is due within 30 calendar days of invoice date via bank transfer to the account of MedTech Solutions B.V. at ING Bank, Amsterdam, Netherlands (IBAN: NL91 INGB 0000 1234 56).</w:t>
      </w:r>
    </w:p>
    <w:p>
      <w:pPr>
        <w:numPr>
          <w:ilvl w:val="0"/>
          <w:numId w:val="1001"/>
        </w:numPr>
        <w:pStyle w:val="Compact"/>
      </w:pPr>
      <w:r>
        <w:rPr>
          <w:bCs/>
          <w:b/>
        </w:rPr>
        <w:t xml:space="preserve">Service Level Agreement (SLA):</w:t>
      </w:r>
      <w:r>
        <w:t xml:space="preserve"> </w:t>
      </w:r>
      <w:r>
        <w:t xml:space="preserve">The Biomedical Engineer team guarantees a maximum response time of 4 hours for critical care devices and 24 hours for non-critical devices within the Netherlands Amsterdam metropolitan area. Failure to meet SLA targets will result in a 5% service credit per incident.</w:t>
      </w:r>
    </w:p>
    <w:p>
      <w:pPr>
        <w:numPr>
          <w:ilvl w:val="0"/>
          <w:numId w:val="1001"/>
        </w:numPr>
        <w:pStyle w:val="Compact"/>
      </w:pPr>
      <w:r>
        <w:rPr>
          <w:bCs/>
          <w:b/>
        </w:rPr>
        <w:t xml:space="preserve">Confidentiality &amp; Data Protection:</w:t>
      </w:r>
      <w:r>
        <w:t xml:space="preserve"> </w:t>
      </w:r>
      <w:r>
        <w:t xml:space="preserve">All personnel assigned as Biomedical Engineer staff will sign a Non-Disclosure Agreement (NDA) and comply with the Dutch Implementation Act of the GDPR (UAVG). Patient data and hospital operational information will be handled in strict accordance with applicable privacy legislation.</w:t>
      </w:r>
    </w:p>
    <w:p>
      <w:pPr>
        <w:numPr>
          <w:ilvl w:val="0"/>
          <w:numId w:val="1001"/>
        </w:numPr>
        <w:pStyle w:val="Compact"/>
      </w:pPr>
      <w:r>
        <w:rPr>
          <w:bCs/>
          <w:b/>
        </w:rPr>
        <w:t xml:space="preserve">Regulatory Compliance:</w:t>
      </w:r>
      <w:r>
        <w:t xml:space="preserve"> </w:t>
      </w:r>
      <w:r>
        <w:t xml:space="preserve">All Biomedical Engineer activities will be conducted in full compliance with the Dutch Medical Devices Act (Wet medische hulpmiddelen), the MDR 2017/745, NEN-EN 62353, NEN 7510, and IGJ inspection requirements specific to the Netherlands Amsterdam healthcare sector.</w:t>
      </w:r>
    </w:p>
    <w:p>
      <w:pPr>
        <w:numPr>
          <w:ilvl w:val="0"/>
          <w:numId w:val="1001"/>
        </w:numPr>
        <w:pStyle w:val="Compact"/>
      </w:pPr>
      <w:r>
        <w:rPr>
          <w:bCs/>
          <w:b/>
        </w:rPr>
        <w:t xml:space="preserve">Termination:</w:t>
      </w:r>
      <w:r>
        <w:t xml:space="preserve"> </w:t>
      </w:r>
      <w:r>
        <w:t xml:space="preserve">Either party may terminate the agreement with a written notice period of 90 days. In the event of early termination, a pro-rata charge for the Biomedical Engineer services rendered up to the termination date will apply.</w:t>
      </w:r>
    </w:p>
    <w:p>
      <w:pPr>
        <w:numPr>
          <w:ilvl w:val="0"/>
          <w:numId w:val="1001"/>
        </w:numPr>
        <w:pStyle w:val="Compact"/>
      </w:pPr>
      <w:r>
        <w:rPr>
          <w:bCs/>
          <w:b/>
        </w:rPr>
        <w:t xml:space="preserve">Insurance:</w:t>
      </w:r>
      <w:r>
        <w:t xml:space="preserve"> </w:t>
      </w:r>
      <w:r>
        <w:t xml:space="preserve">MedTech Solutions B.V. maintains professional liability insurance (beroepsaansprakelijkheid) with a coverage of no less than €5,000,000 per claim, valid throughout the Netherlands, including the Amsterdam municipality.</w:t>
      </w:r>
    </w:p>
    <w:p>
      <w:pPr>
        <w:numPr>
          <w:ilvl w:val="0"/>
          <w:numId w:val="1001"/>
        </w:numPr>
        <w:pStyle w:val="Compact"/>
      </w:pPr>
      <w:r>
        <w:rPr>
          <w:bCs/>
          <w:b/>
        </w:rPr>
        <w:t xml:space="preserve">Dispute Resolution:</w:t>
      </w:r>
      <w:r>
        <w:t xml:space="preserve"> </w:t>
      </w:r>
      <w:r>
        <w:t xml:space="preserve">Any disputes arising from this Quotation Estimate or the resulting contract shall be resolved through mediation in Amsterdam, Netherlands, in accordance with the rules of the Netherlands Mediation Institute (NMI). If mediation fails, the competent courts of Amsterdam shall have exclusive jurisdiction.</w:t>
      </w:r>
    </w:p>
    <w:p>
      <w:pPr>
        <w:numPr>
          <w:ilvl w:val="0"/>
          <w:numId w:val="1001"/>
        </w:numPr>
        <w:pStyle w:val="Compact"/>
      </w:pPr>
      <w:r>
        <w:rPr>
          <w:bCs/>
          <w:b/>
        </w:rPr>
        <w:t xml:space="preserve">Force Majeure:</w:t>
      </w:r>
      <w:r>
        <w:t xml:space="preserve"> </w:t>
      </w:r>
      <w:r>
        <w:t xml:space="preserve">Neither party shall be liable for delays or failures in performance of Biomedical Engineer services caused by events beyond reasonable control, including but not limited to natural disasters, pandemics, or government-mandated closures in the Netherlands.</w:t>
      </w:r>
    </w:p>
    <w:bookmarkEnd w:id="25"/>
    <w:bookmarkStart w:id="26" w:name="acceptance-and-authorization"/>
    <w:p>
      <w:pPr>
        <w:pStyle w:val="Heading2"/>
      </w:pPr>
      <w:r>
        <w:t xml:space="preserve">4.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Biomedical Engineer</w:t>
      </w:r>
      <w:r>
        <w:t xml:space="preserve"> </w:t>
      </w:r>
      <w:r>
        <w:t xml:space="preserve">services to be delivered at the specified location in</w:t>
      </w:r>
      <w:r>
        <w:t xml:space="preserve"> </w:t>
      </w:r>
      <w:r>
        <w:t xml:space="preserve">Netherlands Amsterdam</w:t>
      </w:r>
      <w:r>
        <w:t xml:space="preserve">. This document, once countersigned by both parties, constitutes a binding service agreement for the duration and scope described herein.</w:t>
      </w:r>
    </w:p>
    <w:p>
      <w:pPr>
        <w:pStyle w:val="BodyText"/>
      </w:pPr>
      <w:r>
        <w:rPr>
          <w:bCs/>
          <w:b/>
        </w:rPr>
        <w:t xml:space="preserve">For MedTech Solutions B.V. (Supplier)</w:t>
      </w:r>
    </w:p>
    <w:p>
      <w:pPr>
        <w:pStyle w:val="BodyText"/>
      </w:pPr>
      <w:r>
        <w:t xml:space="preserve">Name: Dr. R. de Vries</w:t>
      </w:r>
      <w:r>
        <w:br/>
      </w:r>
      <w:r>
        <w:t xml:space="preserve">Title: Managing Director</w:t>
      </w:r>
      <w:r>
        <w:br/>
      </w:r>
      <w:r>
        <w:t xml:space="preserve">Date: _________________________</w:t>
      </w:r>
      <w:r>
        <w:br/>
      </w:r>
      <w:r>
        <w:t xml:space="preserve">Signature: _________________________</w:t>
      </w:r>
    </w:p>
    <w:p>
      <w:pPr>
        <w:pStyle w:val="BodyText"/>
      </w:pPr>
      <w:r>
        <w:rPr>
          <w:bCs/>
          <w:b/>
        </w:rPr>
        <w:t xml:space="preserve">For Amsterdam UMC (Client)</w:t>
      </w:r>
    </w:p>
    <w:p>
      <w:pPr>
        <w:pStyle w:val="BodyText"/>
      </w:pPr>
      <w:r>
        <w:t xml:space="preserve">Name: Dr. J. van der Berg</w:t>
      </w:r>
      <w:r>
        <w:br/>
      </w:r>
      <w:r>
        <w:t xml:space="preserve">Title: Head of Biomedical Engineering</w:t>
      </w:r>
      <w:r>
        <w:br/>
      </w:r>
      <w:r>
        <w:t xml:space="preserve">Date: _________________________</w:t>
      </w:r>
      <w:r>
        <w:br/>
      </w:r>
      <w:r>
        <w:t xml:space="preserve">Signature: _________________________</w:t>
      </w:r>
    </w:p>
    <w:p>
      <w:pPr>
        <w:pStyle w:val="BodyText"/>
      </w:pPr>
      <w:r>
        <w:t xml:space="preserve">MedTech Solutions B.V. | Keizersgracht 420, 1016 GC Amsterdam, Netherlands | KvK: 87654321 | BTW: NL861234567B01</w:t>
      </w:r>
    </w:p>
    <w:p>
      <w:pPr>
        <w:pStyle w:val="BodyText"/>
      </w:pPr>
      <w:r>
        <w:t xml:space="preserve">This Quotation Estimate document is generated electronically and is valid without a physical stamp. Document Ref: QE-2025-AM-0347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Netherlands Amsterdam</dc:title>
  <dc:creator/>
  <dc:language>en</dc:language>
  <cp:keywords/>
  <dcterms:created xsi:type="dcterms:W3CDTF">2026-10-10T01:15:10Z</dcterms:created>
  <dcterms:modified xsi:type="dcterms:W3CDTF">2026-10-10T01:15:10Z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