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Biomedical Engineer Services — Peru Lima</w:t>
      </w:r>
    </w:p>
    <w:bookmarkEnd w:id="20"/>
    <w:bookmarkStart w:id="21" w:name="service-provider"/>
    <w:p>
      <w:pPr>
        <w:pStyle w:val="Heading3"/>
      </w:pPr>
      <w:r>
        <w:t xml:space="preserve">Service Provider</w:t>
      </w:r>
    </w:p>
    <w:p>
      <w:pPr>
        <w:pStyle w:val="FirstParagraph"/>
      </w:pPr>
      <w:r>
        <w:rPr>
          <w:bCs/>
          <w:b/>
        </w:rPr>
        <w:t xml:space="preserve">Andina Biomedical Solutions S.A.C.</w:t>
      </w:r>
    </w:p>
    <w:p>
      <w:pPr>
        <w:pStyle w:val="BodyText"/>
      </w:pPr>
      <w:r>
        <w:t xml:space="preserve">RUC: 20601234567</w:t>
      </w:r>
    </w:p>
    <w:p>
      <w:pPr>
        <w:pStyle w:val="BodyText"/>
      </w:pPr>
      <w:r>
        <w:t xml:space="preserve">Av. Javier Prado Este 1250, Of. 804</w:t>
      </w:r>
    </w:p>
    <w:p>
      <w:pPr>
        <w:pStyle w:val="BodyText"/>
      </w:pPr>
      <w:r>
        <w:t xml:space="preserve">San Isidro, Peru Lima, 15081</w:t>
      </w:r>
    </w:p>
    <w:p>
      <w:pPr>
        <w:pStyle w:val="BodyText"/>
      </w:pPr>
      <w:r>
        <w:t xml:space="preserve">Phone: +51 1 456 7890</w:t>
      </w:r>
    </w:p>
    <w:p>
      <w:pPr>
        <w:pStyle w:val="BodyText"/>
      </w:pPr>
      <w:r>
        <w:t xml:space="preserve">Email: quotes@andinabiomedical.pe</w:t>
      </w:r>
    </w:p>
    <w:bookmarkEnd w:id="21"/>
    <w:bookmarkStart w:id="22" w:name="client-information"/>
    <w:p>
      <w:pPr>
        <w:pStyle w:val="Heading3"/>
      </w:pPr>
      <w:r>
        <w:t xml:space="preserve">Client Information</w:t>
      </w:r>
    </w:p>
    <w:p>
      <w:pPr>
        <w:pStyle w:val="FirstParagraph"/>
      </w:pPr>
      <w:r>
        <w:rPr>
          <w:bCs/>
          <w:b/>
        </w:rPr>
        <w:t xml:space="preserve">Hospital Nacional Dos de Mayo</w:t>
      </w:r>
    </w:p>
    <w:p>
      <w:pPr>
        <w:pStyle w:val="BodyText"/>
      </w:pPr>
      <w:r>
        <w:t xml:space="preserve">RUC: 20109876543</w:t>
      </w:r>
    </w:p>
    <w:p>
      <w:pPr>
        <w:pStyle w:val="BodyText"/>
      </w:pPr>
      <w:r>
        <w:t xml:space="preserve">Av. 28 de Julio 1300</w:t>
      </w:r>
    </w:p>
    <w:p>
      <w:pPr>
        <w:pStyle w:val="BodyText"/>
      </w:pPr>
      <w:r>
        <w:t xml:space="preserve">La Victoria, Peru Lima, 15001</w:t>
      </w:r>
    </w:p>
    <w:p>
      <w:pPr>
        <w:pStyle w:val="BodyText"/>
      </w:pPr>
      <w:r>
        <w:t xml:space="preserve">Attn: Ing. María Fernández, Jefa de Ingeniería Clínica</w:t>
      </w:r>
    </w:p>
    <w:p>
      <w:pPr>
        <w:pStyle w:val="BodyText"/>
      </w:pPr>
      <w:r>
        <w:t xml:space="preserve">Phone: +51 1 234 5678</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QBE-2025-00472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Currency:</w:t>
            </w:r>
          </w:p>
        </w:tc>
        <w:tc>
          <w:tcPr/>
          <w:p>
            <w:pPr>
              <w:pStyle w:val="Compact"/>
              <w:jc w:val="left"/>
            </w:pPr>
            <w:r>
              <w:t xml:space="preserve">Peruvian Sol (PEN / S/)</w:t>
            </w:r>
          </w:p>
        </w:tc>
      </w:tr>
      <w:tr>
        <w:tc>
          <w:tcPr/>
          <w:p>
            <w:pPr>
              <w:pStyle w:val="Compact"/>
              <w:jc w:val="left"/>
            </w:pPr>
            <w:r>
              <w:t xml:space="preserve">Project Location:</w:t>
            </w:r>
          </w:p>
        </w:tc>
        <w:tc>
          <w:tcPr/>
          <w:p>
            <w:pPr>
              <w:pStyle w:val="Compact"/>
              <w:jc w:val="left"/>
            </w:pPr>
            <w:r>
              <w:t xml:space="preserve">Peru Lima — Hospital Nacional Dos de Mayo, La Victoria</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Andina Biomedical Solutions S.A.C. to formally present the professional fees, technical deliverables, and associated costs for the engagement of a certified</w:t>
      </w:r>
      <w:r>
        <w:t xml:space="preserve"> </w:t>
      </w:r>
      <w:r>
        <w:t xml:space="preserve">Biomedical Engineer</w:t>
      </w:r>
      <w:r>
        <w:t xml:space="preserve"> </w:t>
      </w:r>
      <w:r>
        <w:t xml:space="preserve">to provide comprehensive clinical engineering support services at the Hospital Nacional Dos de Mayo, located in Peru Lima. This document serves as a binding financial proposal and outlines the full scope of work, timelines, payment structure, and contractual conditions governing the professional relationship between the parties.</w:t>
      </w:r>
    </w:p>
    <w:p>
      <w:pPr>
        <w:pStyle w:val="BodyText"/>
      </w:pPr>
      <w:r>
        <w:t xml:space="preserve">The</w:t>
      </w:r>
      <w:r>
        <w:t xml:space="preserve"> </w:t>
      </w:r>
      <w:r>
        <w:t xml:space="preserve">Biomedical Engineer</w:t>
      </w:r>
      <w:r>
        <w:t xml:space="preserve"> </w:t>
      </w:r>
      <w:r>
        <w:t xml:space="preserve">assigned to this project will hold a minimum of eight (8) years of post-graduate experience in medical device management, clinical engineering, and regulatory compliance within the Peruvian healthcare sector. The engineer will be fully licensed by the Colegio de Ingenieros del Perú and will operate in strict accordance with the regulations established by DIGEMID (Dirección General de Medicamentos, Insumos y Productos Sanitarios) and the Ministry of Health of Peru (MINSA).</w:t>
      </w:r>
    </w:p>
    <w:bookmarkEnd w:id="23"/>
    <w:bookmarkStart w:id="24" w:name="itemized-services-and-cost-breakdown"/>
    <w:p>
      <w:pPr>
        <w:pStyle w:val="Heading2"/>
      </w:pPr>
      <w:r>
        <w:t xml:space="preserve">2. Itemized Services and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(S/)</w:t>
            </w:r>
          </w:p>
        </w:tc>
        <w:tc>
          <w:tcPr/>
          <w:p>
            <w:pPr>
              <w:pStyle w:val="Compact"/>
              <w:jc w:val="left"/>
            </w:pPr>
            <w:r>
              <w:t xml:space="preserve">Subtotal (S/)</w:t>
            </w:r>
          </w:p>
        </w:tc>
      </w:tr>
      <w:tr>
        <w:tc>
          <w:tcPr/>
          <w:p>
            <w:pPr>
              <w:pStyle w:val="Compact"/>
              <w:jc w:val="left"/>
            </w:pPr>
            <w:r>
              <w:t xml:space="preserve">1</w:t>
            </w:r>
          </w:p>
        </w:tc>
        <w:tc>
          <w:tcPr/>
          <w:p>
            <w:pPr>
              <w:pStyle w:val="Compact"/>
              <w:jc w:val="left"/>
            </w:pPr>
            <w:r>
              <w:rPr>
                <w:bCs/>
                <w:b/>
              </w:rPr>
              <w:t xml:space="preserve">Biomedical Engineer — Full-Time Clinical Engineering Consultancy.</w:t>
            </w:r>
            <w:r>
              <w:t xml:space="preserve"> </w:t>
            </w:r>
            <w:r>
              <w:t xml:space="preserve">On-site presence at the hospital facility in Peru Lima, Monday through Friday, 08:00–17:00 hrs. Includes daily inspection, calibration, and preventive maintenance of all Class II and Class III medical devices (ECG machines, ventilators, infusion pumps, imaging equipment, surgical instruments).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rPr>
                <w:bCs/>
                <w:b/>
              </w:rPr>
              <w:t xml:space="preserve">Medical Device Inventory Audit and Risk Assessment.</w:t>
            </w:r>
            <w:r>
              <w:t xml:space="preserve"> </w:t>
            </w:r>
            <w:r>
              <w:t xml:space="preserve">Complete cataloging of all biomedical equipment across 14 hospital departments. Generation of a risk matrix per ISO 14971 standards. Delivery of a 60-page technical report with prioritized replacement recommendations.</w:t>
            </w:r>
          </w:p>
        </w:tc>
        <w:tc>
          <w:tcPr/>
          <w:p>
            <w:pPr>
              <w:pStyle w:val="Compact"/>
              <w:jc w:val="left"/>
            </w:pPr>
            <w:r>
              <w:t xml:space="preserve">1 deliverable</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w:t>
            </w:r>
          </w:p>
        </w:tc>
        <w:tc>
          <w:tcPr/>
          <w:p>
            <w:pPr>
              <w:pStyle w:val="Compact"/>
              <w:jc w:val="left"/>
            </w:pPr>
            <w:r>
              <w:rPr>
                <w:bCs/>
                <w:b/>
              </w:rPr>
              <w:t xml:space="preserve">Regulatory Compliance and DIGEMID Registration Support.</w:t>
            </w:r>
            <w:r>
              <w:t xml:space="preserve"> </w:t>
            </w:r>
            <w:r>
              <w:t xml:space="preserve">Assistance in updating the hospital's medical device registry, preparing technical dossiers for new equipment acquisitions, and ensuring full compliance with Peruvian health regulations applicable in Peru Lima.</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4</w:t>
            </w:r>
          </w:p>
        </w:tc>
        <w:tc>
          <w:tcPr/>
          <w:p>
            <w:pPr>
              <w:pStyle w:val="Compact"/>
              <w:jc w:val="left"/>
            </w:pPr>
            <w:r>
              <w:rPr>
                <w:bCs/>
                <w:b/>
              </w:rPr>
              <w:t xml:space="preserve">Training Program for Hospital Technical Staff.</w:t>
            </w:r>
            <w:r>
              <w:t xml:space="preserve"> </w:t>
            </w:r>
            <w:r>
              <w:t xml:space="preserve">Four (4) in-person workshops per quarter (16 total per year) covering safe operation, basic troubleshooting, and emergency protocols for biomedical equipment. Each session: 4 hours, up to 25 participants, held on-site in Peru Lima.</w:t>
            </w:r>
          </w:p>
        </w:tc>
        <w:tc>
          <w:tcPr/>
          <w:p>
            <w:pPr>
              <w:pStyle w:val="Compact"/>
              <w:jc w:val="left"/>
            </w:pPr>
            <w:r>
              <w:t xml:space="preserve">16 sessions</w:t>
            </w:r>
          </w:p>
        </w:tc>
        <w:tc>
          <w:tcPr/>
          <w:p>
            <w:pPr>
              <w:pStyle w:val="Compact"/>
              <w:jc w:val="left"/>
            </w:pPr>
            <w:r>
              <w:t xml:space="preserve">1,850.00</w:t>
            </w:r>
          </w:p>
        </w:tc>
        <w:tc>
          <w:tcPr/>
          <w:p>
            <w:pPr>
              <w:pStyle w:val="Compact"/>
              <w:jc w:val="left"/>
            </w:pPr>
            <w:r>
              <w:t xml:space="preserve">29,600.00</w:t>
            </w:r>
          </w:p>
        </w:tc>
      </w:tr>
      <w:tr>
        <w:tc>
          <w:tcPr/>
          <w:p>
            <w:pPr>
              <w:pStyle w:val="Compact"/>
              <w:jc w:val="left"/>
            </w:pPr>
            <w:r>
              <w:t xml:space="preserve">5</w:t>
            </w:r>
          </w:p>
        </w:tc>
        <w:tc>
          <w:tcPr/>
          <w:p>
            <w:pPr>
              <w:pStyle w:val="Compact"/>
              <w:jc w:val="left"/>
            </w:pPr>
            <w:r>
              <w:rPr>
                <w:bCs/>
                <w:b/>
              </w:rPr>
              <w:t xml:space="preserve">Emergency Response and After-Hours Technical Support.</w:t>
            </w:r>
            <w:r>
              <w:t xml:space="preserve"> </w:t>
            </w:r>
            <w:r>
              <w:t xml:space="preserve">24/7 on-call availability for critical biomedical equipment failures. Guaranteed response time of 2 hours within the Peru Lima metropolitan area. Includes up to 20 emergency interventions per year.</w:t>
            </w:r>
          </w:p>
        </w:tc>
        <w:tc>
          <w:tcPr/>
          <w:p>
            <w:pPr>
              <w:pStyle w:val="Compact"/>
              <w:jc w:val="left"/>
            </w:pPr>
            <w:r>
              <w:t xml:space="preserve">12 months</w:t>
            </w:r>
          </w:p>
        </w:tc>
        <w:tc>
          <w:tcPr/>
          <w:p>
            <w:pPr>
              <w:pStyle w:val="Compact"/>
              <w:jc w:val="left"/>
            </w:pPr>
            <w:r>
              <w:t xml:space="preserve">3,600.00</w:t>
            </w:r>
          </w:p>
        </w:tc>
        <w:tc>
          <w:tcPr/>
          <w:p>
            <w:pPr>
              <w:pStyle w:val="Compact"/>
              <w:jc w:val="left"/>
            </w:pPr>
            <w:r>
              <w:t xml:space="preserve">43,200.00</w:t>
            </w:r>
          </w:p>
        </w:tc>
      </w:tr>
      <w:tr>
        <w:tc>
          <w:tcPr/>
          <w:p>
            <w:pPr>
              <w:pStyle w:val="Compact"/>
              <w:jc w:val="left"/>
            </w:pPr>
            <w:r>
              <w:t xml:space="preserve">6</w:t>
            </w:r>
          </w:p>
        </w:tc>
        <w:tc>
          <w:tcPr/>
          <w:p>
            <w:pPr>
              <w:pStyle w:val="Compact"/>
              <w:jc w:val="left"/>
            </w:pPr>
            <w:r>
              <w:rPr>
                <w:bCs/>
                <w:b/>
              </w:rPr>
              <w:t xml:space="preserve">Software and Firmware Updates for Connected Medical Devices.</w:t>
            </w:r>
            <w:r>
              <w:t xml:space="preserve"> </w:t>
            </w:r>
            <w:r>
              <w:t xml:space="preserve">Scheduled quarterly updates for PACS systems, digital radiography units, and networked monitoring equipment. Includes security patching and data integrity verification.</w:t>
            </w:r>
          </w:p>
        </w:tc>
        <w:tc>
          <w:tcPr/>
          <w:p>
            <w:pPr>
              <w:pStyle w:val="Compact"/>
              <w:jc w:val="left"/>
            </w:pPr>
            <w:r>
              <w:t xml:space="preserve">4 quarters</w:t>
            </w:r>
          </w:p>
        </w:tc>
        <w:tc>
          <w:tcPr/>
          <w:p>
            <w:pPr>
              <w:pStyle w:val="Compact"/>
              <w:jc w:val="left"/>
            </w:pPr>
            <w:r>
              <w:t xml:space="preserve">5,400.00</w:t>
            </w:r>
          </w:p>
        </w:tc>
        <w:tc>
          <w:tcPr/>
          <w:p>
            <w:pPr>
              <w:pStyle w:val="Compact"/>
              <w:jc w:val="left"/>
            </w:pPr>
            <w:r>
              <w:t xml:space="preserve">21,600.00</w:t>
            </w:r>
          </w:p>
        </w:tc>
      </w:tr>
      <w:tr>
        <w:tc>
          <w:tcPr/>
          <w:p>
            <w:pPr>
              <w:pStyle w:val="Compact"/>
              <w:jc w:val="left"/>
            </w:pPr>
            <w:r>
              <w:t xml:space="preserve">7</w:t>
            </w:r>
          </w:p>
        </w:tc>
        <w:tc>
          <w:tcPr/>
          <w:p>
            <w:pPr>
              <w:pStyle w:val="Compact"/>
              <w:jc w:val="left"/>
            </w:pPr>
            <w:r>
              <w:rPr>
                <w:bCs/>
                <w:b/>
              </w:rPr>
              <w:t xml:space="preserve">Project Management and Monthly Reporting.</w:t>
            </w:r>
            <w:r>
              <w:t xml:space="preserve"> </w:t>
            </w:r>
            <w:r>
              <w:t xml:space="preserve">Weekly progress meetings, monthly performance reports with KPIs (equipment uptime, mean time to repair, calibration compliance rate), and quarterly executive presentations to hospital administration in Peru Lima.</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r>
      <w:tr>
        <w:tc>
          <w:tcPr>
            <w:gridSpan w:val="4"/>
          </w:tcPr>
          <w:p>
            <w:pPr>
              <w:pStyle w:val="Compact"/>
              <w:jc w:val="left"/>
            </w:pPr>
            <w:r>
              <w:rPr>
                <w:bCs/>
                <w:b/>
              </w:rPr>
              <w:t xml:space="preserve">Subtotal (S/)</w:t>
            </w:r>
          </w:p>
        </w:tc>
        <w:tc>
          <w:tcPr/>
          <w:p>
            <w:pPr>
              <w:pStyle w:val="Compact"/>
              <w:jc w:val="left"/>
            </w:pPr>
            <w:r>
              <w:rPr>
                <w:bCs/>
                <w:b/>
              </w:rPr>
              <w:t xml:space="preserve">284,800.00</w:t>
            </w:r>
          </w:p>
        </w:tc>
      </w:tr>
      <w:tr>
        <w:tc>
          <w:tcPr>
            <w:gridSpan w:val="4"/>
          </w:tcPr>
          <w:p>
            <w:pPr>
              <w:pStyle w:val="Compact"/>
              <w:jc w:val="left"/>
            </w:pPr>
            <w:r>
              <w:rPr>
                <w:bCs/>
                <w:b/>
              </w:rPr>
              <w:t xml:space="preserve">IGV (18%) (S/)</w:t>
            </w:r>
          </w:p>
        </w:tc>
        <w:tc>
          <w:tcPr/>
          <w:p>
            <w:pPr>
              <w:pStyle w:val="Compact"/>
              <w:jc w:val="left"/>
            </w:pPr>
            <w:r>
              <w:rPr>
                <w:bCs/>
                <w:b/>
              </w:rPr>
              <w:t xml:space="preserve">51,264.00</w:t>
            </w:r>
          </w:p>
        </w:tc>
      </w:tr>
      <w:tr>
        <w:tc>
          <w:tcPr>
            <w:gridSpan w:val="4"/>
          </w:tcPr>
          <w:p>
            <w:pPr>
              <w:pStyle w:val="Compact"/>
              <w:jc w:val="left"/>
            </w:pPr>
            <w:r>
              <w:rPr>
                <w:bCs/>
                <w:b/>
              </w:rPr>
              <w:t xml:space="preserve">TOTAL QUOTATION ESTIMATE (S/)</w:t>
            </w:r>
          </w:p>
        </w:tc>
        <w:tc>
          <w:tcPr/>
          <w:p>
            <w:pPr>
              <w:pStyle w:val="Compact"/>
              <w:jc w:val="left"/>
            </w:pPr>
            <w:r>
              <w:rPr>
                <w:bCs/>
                <w:b/>
              </w:rPr>
              <w:t xml:space="preserve">336,064.00</w:t>
            </w:r>
          </w:p>
        </w:tc>
      </w:tr>
    </w:tbl>
    <w:p>
      <w:pPr>
        <w:pStyle w:val="BodyText"/>
      </w:pPr>
      <w:r>
        <w:rPr>
          <w:bCs/>
          <w:b/>
        </w:rPr>
        <w:t xml:space="preserve">Note:</w:t>
      </w:r>
      <w:r>
        <w:t xml:space="preserve"> </w:t>
      </w:r>
      <w:r>
        <w:t xml:space="preserve">All prices in this Quotation Estimate are expressed in Peruvian Soles (PEN) and include the applicable 18% IGV (Impuesto General a las Ventas) as mandated by the Peruvian tax authority (SUNAT). Prices do not include third-party spare parts, manufacturer-specific calibration certificates, or travel expenses outside the Peru Lima metropolitan zone.</w:t>
      </w:r>
    </w:p>
    <w:bookmarkEnd w:id="24"/>
    <w:bookmarkStart w:id="25" w:name="payment-terms-and-schedule"/>
    <w:p>
      <w:pPr>
        <w:pStyle w:val="Heading2"/>
      </w:pPr>
      <w:r>
        <w:t xml:space="preserve">3. Payment Terms and Schedule</w:t>
      </w:r>
    </w:p>
    <w:p>
      <w:pPr>
        <w:pStyle w:val="FirstParagraph"/>
      </w:pPr>
      <w:r>
        <w:t xml:space="preserve">The total amount of this</w:t>
      </w:r>
      <w:r>
        <w:t xml:space="preserve"> </w:t>
      </w:r>
      <w:r>
        <w:t xml:space="preserve">Quotation Estimate</w:t>
      </w:r>
      <w:r>
        <w:t xml:space="preserve"> </w:t>
      </w:r>
      <w:r>
        <w:t xml:space="preserve">shall be paid in monthly installments via bank transfer to the account of Andina Biomedical Solutions S.A.C. at BCP (Banco de Crédito del Perú), Cuenta Corriente No. 191-12345678-0-19, RUC 20601234567.</w:t>
      </w:r>
    </w:p>
    <w:p>
      <w:pPr>
        <w:numPr>
          <w:ilvl w:val="0"/>
          <w:numId w:val="1001"/>
        </w:numPr>
        <w:pStyle w:val="Compact"/>
      </w:pPr>
      <w:r>
        <w:rPr>
          <w:bCs/>
          <w:b/>
        </w:rPr>
        <w:t xml:space="preserve">Monthly Professional Fee:</w:t>
      </w:r>
      <w:r>
        <w:t xml:space="preserve"> </w:t>
      </w:r>
      <w:r>
        <w:t xml:space="preserve">S/ 28,005.33 per month, due on the 5th business day of each month, covering the recurring services listed in items 1, 3, 5, and 7.</w:t>
      </w:r>
    </w:p>
    <w:p>
      <w:pPr>
        <w:numPr>
          <w:ilvl w:val="0"/>
          <w:numId w:val="1001"/>
        </w:numPr>
        <w:pStyle w:val="Compact"/>
      </w:pPr>
      <w:r>
        <w:rPr>
          <w:bCs/>
          <w:b/>
        </w:rPr>
        <w:t xml:space="preserve">One-Time Deliverables:</w:t>
      </w:r>
      <w:r>
        <w:t xml:space="preserve"> </w:t>
      </w:r>
      <w:r>
        <w:t xml:space="preserve">The inventory audit (Item 2) shall be invoiced upon delivery of the final report. Training sessions (Item 4) shall be invoiced per quarter upon completion of the four sessions.</w:t>
      </w:r>
    </w:p>
    <w:p>
      <w:pPr>
        <w:numPr>
          <w:ilvl w:val="0"/>
          <w:numId w:val="1001"/>
        </w:numPr>
        <w:pStyle w:val="Compact"/>
      </w:pPr>
      <w:r>
        <w:rPr>
          <w:bCs/>
          <w:b/>
        </w:rPr>
        <w:t xml:space="preserve">Software Updates (Item 6):</w:t>
      </w:r>
      <w:r>
        <w:t xml:space="preserve"> </w:t>
      </w:r>
      <w:r>
        <w:t xml:space="preserve">Invoiced per quarter upon completion of the update cycle.</w:t>
      </w:r>
    </w:p>
    <w:p>
      <w:pPr>
        <w:numPr>
          <w:ilvl w:val="0"/>
          <w:numId w:val="1001"/>
        </w:numPr>
        <w:pStyle w:val="Compact"/>
      </w:pPr>
      <w:r>
        <w:rPr>
          <w:bCs/>
          <w:b/>
        </w:rPr>
        <w:t xml:space="preserve">Payment Deadline:</w:t>
      </w:r>
      <w:r>
        <w:t xml:space="preserve"> </w:t>
      </w:r>
      <w:r>
        <w:t xml:space="preserve">All invoices must be settled within fifteen (15) calendar days from the date of issuance. Late payments shall accrue interest at the rate established by the Superintendencia de Banca, Seguros y AFP (SBS).</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prices and availability of the</w:t>
      </w:r>
      <w:r>
        <w:t xml:space="preserve"> </w:t>
      </w:r>
      <w:r>
        <w:t xml:space="preserve">Biomedical Engineer</w:t>
      </w:r>
      <w:r>
        <w:t xml:space="preserve"> </w:t>
      </w:r>
      <w:r>
        <w:t xml:space="preserve">must be reconfirmed in writing.</w:t>
      </w:r>
    </w:p>
    <w:p>
      <w:pPr>
        <w:numPr>
          <w:ilvl w:val="0"/>
          <w:numId w:val="1002"/>
        </w:numPr>
        <w:pStyle w:val="Compact"/>
      </w:pPr>
      <w:r>
        <w:t xml:space="preserve">The</w:t>
      </w:r>
      <w:r>
        <w:t xml:space="preserve"> </w:t>
      </w:r>
      <w:r>
        <w:t xml:space="preserve">Biomedical Engineer</w:t>
      </w:r>
      <w:r>
        <w:t xml:space="preserve"> </w:t>
      </w:r>
      <w:r>
        <w:t xml:space="preserve">shall comply with all occupational health and safety regulations in force in Peru Lima, including those issued by the Ministry of Labor and Employment (MINTRA) and the Peruvian Standardization Institute (INACAL).</w:t>
      </w:r>
    </w:p>
    <w:p>
      <w:pPr>
        <w:numPr>
          <w:ilvl w:val="0"/>
          <w:numId w:val="1002"/>
        </w:numPr>
        <w:pStyle w:val="Compact"/>
      </w:pPr>
      <w:r>
        <w:t xml:space="preserve">Confidentiality: All patient data, hospital operational information, and proprietary technical documentation accessed during the engagement shall be treated as strictly confidential in accordance with Peruvian Law No. 29733 (Personal Data Protection Law).</w:t>
      </w:r>
    </w:p>
    <w:p>
      <w:pPr>
        <w:numPr>
          <w:ilvl w:val="0"/>
          <w:numId w:val="1002"/>
        </w:numPr>
        <w:pStyle w:val="Compact"/>
      </w:pPr>
      <w:r>
        <w:t xml:space="preserve">Intellectual Property: All reports, risk matrices, and training materials produced under this contract shall be the exclusive property of the client hospital upon full payment.</w:t>
      </w:r>
    </w:p>
    <w:p>
      <w:pPr>
        <w:numPr>
          <w:ilvl w:val="0"/>
          <w:numId w:val="1002"/>
        </w:numPr>
        <w:pStyle w:val="Compact"/>
      </w:pPr>
      <w:r>
        <w:t xml:space="preserve">Termination: Either party may terminate the agreement with thirty (30) days' written notice. In the event of early termination by the client without cause, a penalty of 10% of the remaining contract value shall apply.</w:t>
      </w:r>
    </w:p>
    <w:p>
      <w:pPr>
        <w:numPr>
          <w:ilvl w:val="0"/>
          <w:numId w:val="1002"/>
        </w:numPr>
        <w:pStyle w:val="Compact"/>
      </w:pPr>
      <w:r>
        <w:t xml:space="preserve">Force Majeure: Neither party shall be liable for delays or non-performance resulting from events beyond reasonable control, including but not limited to natural disasters, pandemics, or government-mandated closures in Peru Lima.</w:t>
      </w:r>
    </w:p>
    <w:p>
      <w:pPr>
        <w:numPr>
          <w:ilvl w:val="0"/>
          <w:numId w:val="1002"/>
        </w:numPr>
        <w:pStyle w:val="Compact"/>
      </w:pPr>
      <w:r>
        <w:t xml:space="preserve">Governing Law: This Quotation Estimate and any resulting contract shall be governed by the Peruvian Civil Code and the Commercial Code of Peru. Any disputes shall be resolved by the competent courts of the judicial district of Lima, Peru.</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pricing outlined in this</w:t>
      </w:r>
      <w:r>
        <w:t xml:space="preserve"> </w:t>
      </w:r>
      <w:r>
        <w:t xml:space="preserve">Quotation Estimate</w:t>
      </w:r>
      <w:r>
        <w:t xml:space="preserve"> </w:t>
      </w:r>
      <w:r>
        <w:t xml:space="preserve">for the engagement of the</w:t>
      </w:r>
      <w:r>
        <w:t xml:space="preserve"> </w:t>
      </w:r>
      <w:r>
        <w:t xml:space="preserve">Biomedical Engineer</w:t>
      </w:r>
      <w:r>
        <w:t xml:space="preserve"> </w:t>
      </w:r>
      <w:r>
        <w:t xml:space="preserve">services in Peru Lima. This document, once countersigned, constitutes a binding commercial proposal and may serve as the basis for the execution of a formal service contract.</w:t>
      </w:r>
    </w:p>
    <w:p>
      <w:pPr>
        <w:pStyle w:val="BodyText"/>
      </w:pPr>
      <w:r>
        <w:rPr>
          <w:bCs/>
          <w:b/>
        </w:rPr>
        <w:t xml:space="preserve">Andina Biomedical Solutions S.A.C.</w:t>
      </w:r>
      <w:r>
        <w:br/>
      </w:r>
      <w:r>
        <w:t xml:space="preserve">Ing. Carlos Mendoza Ríos</w:t>
      </w:r>
      <w:r>
        <w:br/>
      </w:r>
      <w:r>
        <w:t xml:space="preserve">Director Técnico / Biomedical Engineer</w:t>
      </w:r>
      <w:r>
        <w:br/>
      </w:r>
      <w:r>
        <w:t xml:space="preserve">CIP: 123456</w:t>
      </w:r>
      <w:r>
        <w:br/>
      </w:r>
      <w:r>
        <w:t xml:space="preserve">Date: _______________</w:t>
      </w:r>
    </w:p>
    <w:p>
      <w:pPr>
        <w:pStyle w:val="BodyText"/>
      </w:pPr>
      <w:r>
        <w:rPr>
          <w:bCs/>
          <w:b/>
        </w:rPr>
        <w:t xml:space="preserve">Hospital Nacional Dos de Mayo</w:t>
      </w:r>
      <w:r>
        <w:br/>
      </w:r>
      <w:r>
        <w:t xml:space="preserve">Ing. María Fernández Salazar</w:t>
      </w:r>
      <w:r>
        <w:br/>
      </w:r>
      <w:r>
        <w:t xml:space="preserve">Jefa de Ingeniería Clínica</w:t>
      </w:r>
      <w:r>
        <w:br/>
      </w:r>
      <w:r>
        <w:t xml:space="preserve">DNI: 45678901</w:t>
      </w:r>
      <w:r>
        <w:br/>
      </w:r>
      <w:r>
        <w:t xml:space="preserve">Date: _______________</w:t>
      </w:r>
    </w:p>
    <w:p>
      <w:pPr>
        <w:pStyle w:val="BodyText"/>
      </w:pPr>
      <w:r>
        <w:t xml:space="preserve">Quotation Estimate QBE-2025-00472 — Andina Biomedical Solutions S.A.C. — Peru Lima, Peru</w:t>
      </w:r>
    </w:p>
    <w:p>
      <w:pPr>
        <w:pStyle w:val="BodyText"/>
      </w:pPr>
      <w:r>
        <w:t xml:space="preserve">This document is generated electronically and is valid without a physical stamp. For verification, contact quotes@andinabiomedical.pe or +51 1 456 7890.</w:t>
      </w:r>
    </w:p>
    <w:p>
      <w:pPr>
        <w:pStyle w:val="BodyText"/>
      </w:pPr>
      <w:r>
        <w:t xml:space="preserve">© 2025 Andina Biomedical Solutions S.A.C.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Peru Lima</dc:title>
  <dc:creator/>
  <dc:language>en</dc:language>
  <cp:keywords/>
  <dcterms:created xsi:type="dcterms:W3CDTF">2026-10-10T02:24:26Z</dcterms:created>
  <dcterms:modified xsi:type="dcterms:W3CDTF">2026-10-10T02:24:26Z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