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medtech-solutions-international-llc"/>
    <w:p>
      <w:pPr>
        <w:pStyle w:val="Heading1"/>
      </w:pPr>
      <w:r>
        <w:t xml:space="preserve">MedTech Solutions International LLC</w:t>
      </w:r>
    </w:p>
    <w:p>
      <w:pPr>
        <w:pStyle w:val="FirstParagraph"/>
      </w:pPr>
      <w:r>
        <w:t xml:space="preserve">12, Tverskaya Street, Building 4, Moscow, 125009, Russian Federation</w:t>
      </w:r>
    </w:p>
    <w:p>
      <w:pPr>
        <w:pStyle w:val="BodyText"/>
      </w:pPr>
      <w:r>
        <w:t xml:space="preserve">Tel: +7 (495) 123-4567 | Email: quotes@medtechsolutions.ru</w:t>
      </w:r>
    </w:p>
    <w:p>
      <w:pPr>
        <w:pStyle w:val="BodyText"/>
      </w:pPr>
      <w:r>
        <w:t xml:space="preserve">INN: 7701234567 | OGRN: 1157746000000</w:t>
      </w:r>
    </w:p>
    <w:bookmarkEnd w:id="20"/>
    <w:p>
      <w:pPr>
        <w:pStyle w:val="BodyText"/>
      </w:pPr>
      <w:r>
        <w:t xml:space="preserve">Quotation Reference: QTE-2025-RM-0847</w:t>
      </w:r>
    </w:p>
    <w:p>
      <w:pPr>
        <w:pStyle w:val="BodyText"/>
      </w:pPr>
      <w:r>
        <w:t xml:space="preserve">Date of Issue: 15 June 2025</w:t>
      </w:r>
    </w:p>
    <w:bookmarkStart w:id="21" w:name="quotation-estimate"/>
    <w:p>
      <w:pPr>
        <w:pStyle w:val="Heading2"/>
      </w:pPr>
      <w:r>
        <w:t xml:space="preserve">QUOTATION ESTIMATE</w:t>
      </w:r>
    </w:p>
    <w:p>
      <w:pPr>
        <w:pStyle w:val="FirstParagraph"/>
      </w:pPr>
      <w:r>
        <w:t xml:space="preserve">Professional Services of a Biomedical Engineer — Russia Moscow Region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Sechenov University Medical Center, Department of Clinical Engineering, 11, Ulitsa Bolshaya Cherkizovskaya, Moscow, 109240, Russian Federation</w:t>
            </w:r>
          </w:p>
        </w:tc>
      </w:tr>
      <w:tr>
        <w:tc>
          <w:tcPr/>
          <w:p>
            <w:pPr>
              <w:pStyle w:val="Compact"/>
              <w:jc w:val="left"/>
            </w:pPr>
            <w:r>
              <w:t xml:space="preserve">Contact Person:</w:t>
            </w:r>
          </w:p>
        </w:tc>
        <w:tc>
          <w:tcPr/>
          <w:p>
            <w:pPr>
              <w:pStyle w:val="Compact"/>
              <w:jc w:val="left"/>
            </w:pPr>
            <w:r>
              <w:t xml:space="preserve">Dr. Alexander V. Petrov, Head of Biomedical Equipment Division</w:t>
            </w:r>
          </w:p>
        </w:tc>
      </w:tr>
      <w:tr>
        <w:tc>
          <w:tcPr/>
          <w:p>
            <w:pPr>
              <w:pStyle w:val="Compact"/>
              <w:jc w:val="left"/>
            </w:pPr>
            <w:r>
              <w:t xml:space="preserve">Service Category:</w:t>
            </w:r>
          </w:p>
        </w:tc>
        <w:tc>
          <w:tcPr/>
          <w:p>
            <w:pPr>
              <w:pStyle w:val="Compact"/>
              <w:jc w:val="left"/>
            </w:pPr>
            <w:r>
              <w:t xml:space="preserve">Biomedical Engineer</w:t>
            </w:r>
            <w:r>
              <w:t xml:space="preserve"> </w:t>
            </w:r>
            <w:r>
              <w:t xml:space="preserve">— Full-Scope Technical Support, Calibration, and Regulatory Compliance</w:t>
            </w:r>
          </w:p>
        </w:tc>
      </w:tr>
      <w:tr>
        <w:tc>
          <w:tcPr/>
          <w:p>
            <w:pPr>
              <w:pStyle w:val="Compact"/>
              <w:jc w:val="left"/>
            </w:pPr>
            <w:r>
              <w:t xml:space="preserve">Project Location:</w:t>
            </w:r>
          </w:p>
        </w:tc>
        <w:tc>
          <w:tcPr/>
          <w:p>
            <w:pPr>
              <w:pStyle w:val="Compact"/>
              <w:jc w:val="left"/>
            </w:pPr>
            <w:r>
              <w:t xml:space="preserve">Russia Moscow</w:t>
            </w:r>
            <w:r>
              <w:t xml:space="preserve"> </w:t>
            </w:r>
            <w:r>
              <w:t xml:space="preserve">— All on-site activities to be conducted within the Moscow metropolitan area and adjacent Moscow Oblast facilities</w:t>
            </w:r>
          </w:p>
        </w:tc>
      </w:tr>
      <w:tr>
        <w:tc>
          <w:tcPr/>
          <w:p>
            <w:pPr>
              <w:pStyle w:val="Compact"/>
              <w:jc w:val="left"/>
            </w:pPr>
            <w:r>
              <w:t xml:space="preserve">Quotation Validity:</w:t>
            </w:r>
          </w:p>
        </w:tc>
        <w:tc>
          <w:tcPr/>
          <w:p>
            <w:pPr>
              <w:pStyle w:val="Compact"/>
              <w:jc w:val="left"/>
            </w:pPr>
            <w:r>
              <w:t xml:space="preserve">60 calendar days from the date of issue (expires 14 August 2025)</w:t>
            </w:r>
          </w:p>
        </w:tc>
      </w:tr>
      <w:tr>
        <w:tc>
          <w:tcPr/>
          <w:p>
            <w:pPr>
              <w:pStyle w:val="Compact"/>
              <w:jc w:val="left"/>
            </w:pPr>
            <w:r>
              <w:t xml:space="preserve">Currency:</w:t>
            </w:r>
          </w:p>
        </w:tc>
        <w:tc>
          <w:tcPr/>
          <w:p>
            <w:pPr>
              <w:pStyle w:val="Compact"/>
              <w:jc w:val="left"/>
            </w:pPr>
            <w:r>
              <w:t xml:space="preserve">Russian Ruble (RUB) — all amounts inclusive of VAT (20%)</w:t>
            </w:r>
          </w:p>
        </w:tc>
      </w:tr>
    </w:tbl>
    <w:bookmarkStart w:id="22" w:name="X4ec4ce92a70f6f639c6284f1d787876ea6669b5"/>
    <w:p>
      <w:pPr>
        <w:pStyle w:val="Heading3"/>
      </w:pPr>
      <w:r>
        <w:t xml:space="preserve">1. Scope of Work — Biomedical Engineer Services in Russia Moscow</w:t>
      </w:r>
    </w:p>
    <w:p>
      <w:pPr>
        <w:pStyle w:val="FirstParagraph"/>
      </w:pPr>
      <w:r>
        <w:t xml:space="preserve">This</w:t>
      </w:r>
      <w:r>
        <w:t xml:space="preserve"> </w:t>
      </w:r>
      <w:r>
        <w:t xml:space="preserve">Quotation Estimate</w:t>
      </w:r>
      <w:r>
        <w:t xml:space="preserve"> </w:t>
      </w:r>
      <w:r>
        <w:t xml:space="preserve">is issued by MedTech Solutions International LLC to provide comprehensive professional services rendered by a certified</w:t>
      </w:r>
      <w:r>
        <w:t xml:space="preserve"> </w:t>
      </w:r>
      <w:r>
        <w:t xml:space="preserve">Biomedical Engineer</w:t>
      </w:r>
      <w:r>
        <w:t xml:space="preserve"> </w:t>
      </w:r>
      <w:r>
        <w:t xml:space="preserve">for the Sechenov University Medical Center. All services described herein are to be performed within the</w:t>
      </w:r>
      <w:r>
        <w:t xml:space="preserve"> </w:t>
      </w:r>
      <w:r>
        <w:t xml:space="preserve">Russia Moscow</w:t>
      </w:r>
      <w:r>
        <w:t xml:space="preserve"> </w:t>
      </w:r>
      <w:r>
        <w:t xml:space="preserve">jurisdiction in full compliance with the Federal Law No. 323-FZ "On the Protection of the Health of Citizens in the Russian Federation," GOST R 50690-93 safety standards, and the requirements of Roszdravnadzor (Federal Service for Surveillance in Healthcare). The Biomedical Engineer assigned to this engagement holds a valid professional certification issued by the Russian Ministry of Health and possesses a minimum of twelve (12) years of experience in the maintenance, calibration, and regulatory oversight of clinical diagnostic and therapeutic equipment.</w:t>
      </w:r>
    </w:p>
    <w:bookmarkEnd w:id="22"/>
    <w:bookmarkStart w:id="23" w:name="itemized-services-and-pricing"/>
    <w:p>
      <w:pPr>
        <w:pStyle w:val="Heading3"/>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On-site assessment and condition audit of 120 units of biomedical equipment (MRI, CT, ultrasound, patient monitors, ventilators, infusion pumps) located at the Sechenov University Medical Center, Moscow</w:t>
            </w:r>
          </w:p>
        </w:tc>
        <w:tc>
          <w:tcPr/>
          <w:p>
            <w:pPr>
              <w:pStyle w:val="Compact"/>
              <w:jc w:val="left"/>
            </w:pPr>
            <w:r>
              <w:t xml:space="preserve">10 working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Preventive maintenance and calibration of all identified biomedical devices in accordance with GOST R 50690-93 and manufacturer specifications, performed by a dedicated Biomedical Engineer team of three (3) specialists</w:t>
            </w:r>
          </w:p>
        </w:tc>
        <w:tc>
          <w:tcPr/>
          <w:p>
            <w:pPr>
              <w:pStyle w:val="Compact"/>
              <w:jc w:val="left"/>
            </w:pPr>
            <w:r>
              <w:t xml:space="preserve">25 working days</w:t>
            </w:r>
          </w:p>
        </w:tc>
        <w:tc>
          <w:tcPr/>
          <w:p>
            <w:pPr>
              <w:pStyle w:val="Compact"/>
              <w:jc w:val="left"/>
            </w:pPr>
            <w:r>
              <w:t xml:space="preserve">220,000</w:t>
            </w:r>
          </w:p>
        </w:tc>
        <w:tc>
          <w:tcPr/>
          <w:p>
            <w:pPr>
              <w:pStyle w:val="Compact"/>
              <w:jc w:val="left"/>
            </w:pPr>
            <w:r>
              <w:t xml:space="preserve">5,500,000</w:t>
            </w:r>
          </w:p>
        </w:tc>
      </w:tr>
      <w:tr>
        <w:tc>
          <w:tcPr/>
          <w:p>
            <w:pPr>
              <w:pStyle w:val="Compact"/>
              <w:jc w:val="left"/>
            </w:pPr>
            <w:r>
              <w:t xml:space="preserve">3</w:t>
            </w:r>
          </w:p>
        </w:tc>
        <w:tc>
          <w:tcPr/>
          <w:p>
            <w:pPr>
              <w:pStyle w:val="Compact"/>
              <w:jc w:val="left"/>
            </w:pPr>
            <w:r>
              <w:t xml:space="preserve">Regulatory compliance documentation preparation and submission to Roszdravnadzor for the Russia Moscow region, including technical passports, calibration certificates, and safety inspection reports</w:t>
            </w:r>
          </w:p>
        </w:tc>
        <w:tc>
          <w:tcPr/>
          <w:p>
            <w:pPr>
              <w:pStyle w:val="Compact"/>
              <w:jc w:val="left"/>
            </w:pPr>
            <w:r>
              <w:t xml:space="preserve">15 working days</w:t>
            </w:r>
          </w:p>
        </w:tc>
        <w:tc>
          <w:tcPr/>
          <w:p>
            <w:pPr>
              <w:pStyle w:val="Compact"/>
              <w:jc w:val="left"/>
            </w:pPr>
            <w:r>
              <w:t xml:space="preserve">95,000</w:t>
            </w:r>
          </w:p>
        </w:tc>
        <w:tc>
          <w:tcPr/>
          <w:p>
            <w:pPr>
              <w:pStyle w:val="Compact"/>
              <w:jc w:val="left"/>
            </w:pPr>
            <w:r>
              <w:t xml:space="preserve">1,425,000</w:t>
            </w:r>
          </w:p>
        </w:tc>
      </w:tr>
      <w:tr>
        <w:tc>
          <w:tcPr/>
          <w:p>
            <w:pPr>
              <w:pStyle w:val="Compact"/>
              <w:jc w:val="left"/>
            </w:pPr>
            <w:r>
              <w:t xml:space="preserve">4</w:t>
            </w:r>
          </w:p>
        </w:tc>
        <w:tc>
          <w:tcPr/>
          <w:p>
            <w:pPr>
              <w:pStyle w:val="Compact"/>
              <w:jc w:val="left"/>
            </w:pPr>
            <w:r>
              <w:t xml:space="preserve">Emergency repair and troubleshooting support (24/7 on-call) for critical biomedical equipment at the Moscow facility, with a guaranteed response time of no more than four (4) hours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Training of hospital technical staff (up to 20 personnel) on safe operation, basic troubleshooting, and daily maintenance protocols for biomedical equipment, conducted at the Moscow site</w:t>
            </w:r>
          </w:p>
        </w:tc>
        <w:tc>
          <w:tcPr/>
          <w:p>
            <w:pPr>
              <w:pStyle w:val="Compact"/>
              <w:jc w:val="left"/>
            </w:pPr>
            <w:r>
              <w:t xml:space="preserve">5 working days</w:t>
            </w:r>
          </w:p>
        </w:tc>
        <w:tc>
          <w:tcPr/>
          <w:p>
            <w:pPr>
              <w:pStyle w:val="Compact"/>
              <w:jc w:val="left"/>
            </w:pPr>
            <w:r>
              <w:t xml:space="preserve">75,000</w:t>
            </w:r>
          </w:p>
        </w:tc>
        <w:tc>
          <w:tcPr/>
          <w:p>
            <w:pPr>
              <w:pStyle w:val="Compact"/>
              <w:jc w:val="left"/>
            </w:pPr>
            <w:r>
              <w:t xml:space="preserve">375,000</w:t>
            </w:r>
          </w:p>
        </w:tc>
      </w:tr>
      <w:tr>
        <w:tc>
          <w:tcPr/>
          <w:p>
            <w:pPr>
              <w:pStyle w:val="Compact"/>
              <w:jc w:val="left"/>
            </w:pPr>
            <w:r>
              <w:t xml:space="preserve">6</w:t>
            </w:r>
          </w:p>
        </w:tc>
        <w:tc>
          <w:tcPr/>
          <w:p>
            <w:pPr>
              <w:pStyle w:val="Compact"/>
              <w:jc w:val="left"/>
            </w:pPr>
            <w:r>
              <w:t xml:space="preserve">Quarterly follow-up inspections and performance verification reports for the full biomedical equipment inventory, with written reports submitted to the Department of Clinical Engineering</w:t>
            </w:r>
          </w:p>
        </w:tc>
        <w:tc>
          <w:tcPr/>
          <w:p>
            <w:pPr>
              <w:pStyle w:val="Compact"/>
              <w:jc w:val="left"/>
            </w:pPr>
            <w:r>
              <w:t xml:space="preserve">4 visits (12 months)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Supply of calibration reference standards, spare parts, and consumables required during the maintenance cycle (itemized list attached as Appendix A)</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850,000</w:t>
            </w:r>
          </w:p>
        </w:tc>
      </w:tr>
      <w:tr>
        <w:tc>
          <w:tcPr>
            <w:gridSpan w:val="4"/>
          </w:tcPr>
          <w:p>
            <w:pPr>
              <w:pStyle w:val="Compact"/>
              <w:jc w:val="right"/>
            </w:pPr>
            <w:r>
              <w:t xml:space="preserve">Subtotal (excl. VAT):</w:t>
            </w:r>
          </w:p>
        </w:tc>
        <w:tc>
          <w:tcPr/>
          <w:p>
            <w:pPr>
              <w:pStyle w:val="Compact"/>
              <w:jc w:val="left"/>
            </w:pPr>
            <w:r>
              <w:t xml:space="preserve">11,800,000</w:t>
            </w:r>
          </w:p>
        </w:tc>
      </w:tr>
      <w:tr>
        <w:tc>
          <w:tcPr>
            <w:gridSpan w:val="4"/>
          </w:tcPr>
          <w:p>
            <w:pPr>
              <w:pStyle w:val="Compact"/>
              <w:jc w:val="right"/>
            </w:pPr>
            <w:r>
              <w:t xml:space="preserve">VAT (20%):</w:t>
            </w:r>
          </w:p>
        </w:tc>
        <w:tc>
          <w:tcPr/>
          <w:p>
            <w:pPr>
              <w:pStyle w:val="Compact"/>
              <w:jc w:val="left"/>
            </w:pPr>
            <w:r>
              <w:t xml:space="preserve">2,360,000</w:t>
            </w:r>
          </w:p>
        </w:tc>
      </w:tr>
      <w:tr>
        <w:tc>
          <w:tcPr>
            <w:gridSpan w:val="4"/>
          </w:tcPr>
          <w:p>
            <w:pPr>
              <w:pStyle w:val="Compact"/>
              <w:jc w:val="right"/>
            </w:pPr>
            <w:r>
              <w:t xml:space="preserve">TOTAL QUOTATION ESTIMATE AMOUNT:</w:t>
            </w:r>
          </w:p>
        </w:tc>
        <w:tc>
          <w:tcPr/>
          <w:p>
            <w:pPr>
              <w:pStyle w:val="Compact"/>
              <w:jc w:val="left"/>
            </w:pPr>
            <w:r>
              <w:t xml:space="preserve">14,160,000 RUB</w:t>
            </w:r>
          </w:p>
        </w:tc>
      </w:tr>
    </w:tbl>
    <w:bookmarkEnd w:id="23"/>
    <w:bookmarkStart w:id="24" w:name="terms-and-conditions"/>
    <w:p>
      <w:pPr>
        <w:pStyle w:val="Heading3"/>
      </w:pPr>
      <w:r>
        <w:t xml:space="preserve">3. Terms and Conditions</w:t>
      </w:r>
    </w:p>
    <w:p>
      <w:pPr>
        <w:numPr>
          <w:ilvl w:val="0"/>
          <w:numId w:val="1001"/>
        </w:numPr>
        <w:pStyle w:val="Compact"/>
      </w:pPr>
      <w:r>
        <w:t xml:space="preserve">This Quotation Estimate is valid for sixty (60) calendar days from the date of issue. Any acceptance beyond this period requires re-issuance and may be subject to revised pricing due to market fluctuations in the Russia Moscow region.</w:t>
      </w:r>
    </w:p>
    <w:p>
      <w:pPr>
        <w:numPr>
          <w:ilvl w:val="0"/>
          <w:numId w:val="1001"/>
        </w:numPr>
        <w:pStyle w:val="Compact"/>
      </w:pPr>
      <w:r>
        <w:t xml:space="preserve">Payment terms: 40% advance payment upon contract signing; 40% upon completion of the on-site assessment and calibration phase; 20% upon final acceptance and delivery of all regulatory documentation to Roszdravnadzor.</w:t>
      </w:r>
    </w:p>
    <w:p>
      <w:pPr>
        <w:numPr>
          <w:ilvl w:val="0"/>
          <w:numId w:val="1001"/>
        </w:numPr>
        <w:pStyle w:val="Compact"/>
      </w:pPr>
      <w:r>
        <w:t xml:space="preserve">All services shall be performed by qualified Biomedical Engineers holding valid Russian professional certifications. The lead Biomedical Engineer shall be available on-site in Moscow for a minimum of five (5) days per week during active project phases.</w:t>
      </w:r>
    </w:p>
    <w:p>
      <w:pPr>
        <w:numPr>
          <w:ilvl w:val="0"/>
          <w:numId w:val="1001"/>
        </w:numPr>
        <w:pStyle w:val="Compact"/>
      </w:pPr>
      <w:r>
        <w:t xml:space="preserve">The client shall provide safe access to all equipment rooms, electrical panels, and restricted areas within the Moscow facility. The client is responsible for coordinating patient scheduling to minimize clinical disruption during maintenance windows.</w:t>
      </w:r>
    </w:p>
    <w:p>
      <w:pPr>
        <w:numPr>
          <w:ilvl w:val="0"/>
          <w:numId w:val="1001"/>
        </w:numPr>
        <w:pStyle w:val="Compact"/>
      </w:pPr>
      <w:r>
        <w:t xml:space="preserve">Any additional services, emergency repairs beyond the scope of Item 4, or supply of parts not listed in Appendix A shall be subject to a separate written amendment to this Quotation Estimate.</w:t>
      </w:r>
    </w:p>
    <w:p>
      <w:pPr>
        <w:numPr>
          <w:ilvl w:val="0"/>
          <w:numId w:val="1001"/>
        </w:numPr>
        <w:pStyle w:val="Compact"/>
      </w:pPr>
      <w:r>
        <w:t xml:space="preserve">All work shall comply with the labor laws of the Russian Federation, including Federal Law No. 426-FZ on special assessments of working conditions, and all Biomedical Engineers shall be covered by mandatory social insurance.</w:t>
      </w:r>
    </w:p>
    <w:p>
      <w:pPr>
        <w:numPr>
          <w:ilvl w:val="0"/>
          <w:numId w:val="1001"/>
        </w:numPr>
        <w:pStyle w:val="Compact"/>
      </w:pPr>
      <w:r>
        <w:t xml:space="preserve">Confidentiality: All patient data, equipment serial numbers, and institutional records accessed during the course of this engagement in Russia Moscow shall be treated as strictly confidential in accordance with Federal Law No. 152-FZ "On Personal Data."</w:t>
      </w:r>
    </w:p>
    <w:p>
      <w:pPr>
        <w:numPr>
          <w:ilvl w:val="0"/>
          <w:numId w:val="1001"/>
        </w:numPr>
        <w:pStyle w:val="Compact"/>
      </w:pPr>
      <w:r>
        <w:t xml:space="preserve">Warranty: A twelve-month warranty is provided on all calibration and repair work performed by the Biomedical Engineer team. Warranty claims must be submitted in writing within the warranty period.</w:t>
      </w:r>
    </w:p>
    <w:p>
      <w:pPr>
        <w:numPr>
          <w:ilvl w:val="0"/>
          <w:numId w:val="1001"/>
        </w:numPr>
        <w:pStyle w:val="Compact"/>
      </w:pPr>
      <w:r>
        <w:t xml:space="preserve">Disputes arising from this Quotation Estimate shall be resolved through arbitration at the Arbitration Court of the City of Moscow in accordance with the legislation of the Russian Federation.</w:t>
      </w:r>
    </w:p>
    <w:bookmarkEnd w:id="24"/>
    <w:bookmarkStart w:id="25" w:name="acceptance-and-authorization"/>
    <w:p>
      <w:pPr>
        <w:pStyle w:val="Heading3"/>
      </w:pPr>
      <w:r>
        <w:t xml:space="preserve">4. Acceptance and Authorization</w:t>
      </w:r>
    </w:p>
    <w:p>
      <w:pPr>
        <w:pStyle w:val="FirstParagraph"/>
      </w:pPr>
      <w:r>
        <w:rPr>
          <w:bCs/>
          <w:b/>
        </w:rPr>
        <w:t xml:space="preserve">For and on behalf of MedTech Solutions International LLC:</w:t>
      </w:r>
    </w:p>
    <w:p>
      <w:pPr>
        <w:pStyle w:val="BodyText"/>
      </w:pPr>
      <w:r>
        <w:t xml:space="preserve">Name: Dmitry S. Kovalyov</w:t>
      </w:r>
    </w:p>
    <w:p>
      <w:pPr>
        <w:pStyle w:val="BodyText"/>
      </w:pPr>
      <w:r>
        <w:t xml:space="preserve">Title: Chief Biomedical Engineer / Director</w:t>
      </w:r>
    </w:p>
    <w:p>
      <w:pPr>
        <w:pStyle w:val="BodyText"/>
      </w:pPr>
      <w:r>
        <w:t xml:space="preserve">Signature / Date / Company Seal</w:t>
      </w:r>
    </w:p>
    <w:p>
      <w:pPr>
        <w:pStyle w:val="BodyText"/>
      </w:pPr>
      <w:r>
        <w:rPr>
          <w:bCs/>
          <w:b/>
        </w:rPr>
        <w:t xml:space="preserve">Accepted by Sechenov University Medical Center:</w:t>
      </w:r>
    </w:p>
    <w:p>
      <w:pPr>
        <w:pStyle w:val="BodyText"/>
      </w:pPr>
      <w:r>
        <w:t xml:space="preserve">Name: Dr. Alexander V. Petrov</w:t>
      </w:r>
    </w:p>
    <w:p>
      <w:pPr>
        <w:pStyle w:val="BodyText"/>
      </w:pPr>
      <w:r>
        <w:t xml:space="preserve">Title: Head of Biomedical Equipment Division</w:t>
      </w:r>
    </w:p>
    <w:p>
      <w:pPr>
        <w:pStyle w:val="BodyText"/>
      </w:pPr>
      <w:r>
        <w:t xml:space="preserve">Signature / Date / Company Seal</w:t>
      </w:r>
    </w:p>
    <w:p>
      <w:pPr>
        <w:pStyle w:val="BodyText"/>
      </w:pPr>
      <w:r>
        <w:t xml:space="preserve">This Quotation Estimate document (Ref. QTE-2025-RM-0847) is issued exclusively for the Sechenov University Medical Center, Russia Moscow. It does not constitute a binding contract until countersigned by both parties. MedTech Solutions International LLC reserves the right to modify terms upon written notice. All prices are in Russian Rubles (RUB) and include applicable taxes as specified. Document generated in accordance with Russian Federation commercial documentation standards.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Russia Moscow</dc:title>
  <dc:creator/>
  <dc:language>en</dc:language>
  <cp:keywords/>
  <dcterms:created xsi:type="dcterms:W3CDTF">2026-10-10T03:20:59Z</dcterms:created>
  <dcterms:modified xsi:type="dcterms:W3CDTF">2026-10-10T03:20:59Z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