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Biomedical</w:t>
      </w:r>
      <w:r>
        <w:t xml:space="preserve"> </w:t>
      </w:r>
      <w:r>
        <w:t xml:space="preserve">Engineer</w:t>
      </w:r>
      <w:r>
        <w:t xml:space="preserve"> </w:t>
      </w:r>
      <w:r>
        <w:t xml:space="preserve">-</w:t>
      </w:r>
      <w:r>
        <w:t xml:space="preserve"> </w:t>
      </w:r>
      <w:r>
        <w:t xml:space="preserve">Saudi</w:t>
      </w:r>
      <w:r>
        <w:t xml:space="preserve"> </w:t>
      </w:r>
      <w:r>
        <w:t xml:space="preserve">Arabia</w:t>
      </w:r>
      <w:r>
        <w:t xml:space="preserve"> </w:t>
      </w:r>
      <w:r>
        <w:t xml:space="preserve">Jeddah</w:t>
      </w:r>
    </w:p>
    <w:bookmarkStart w:id="21" w:name="quotation-estimate"/>
    <w:p>
      <w:pPr>
        <w:pStyle w:val="Heading1"/>
      </w:pPr>
      <w:r>
        <w:t xml:space="preserve">QUOTATION ESTIMATE</w:t>
      </w:r>
    </w:p>
    <w:bookmarkStart w:id="20" w:name="X59c6088faccc8b3e67c2a3631cc8ce03cfc1c86"/>
    <w:p>
      <w:pPr>
        <w:pStyle w:val="Heading2"/>
      </w:pPr>
      <w:r>
        <w:t xml:space="preserve">Professional Services – Biomedical Engineer – Saudi Arabia Jeddah</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QE-BME-JED-2025-0472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60 days from date of issue (14 August 2025)</w:t>
            </w:r>
          </w:p>
        </w:tc>
      </w:tr>
      <w:tr>
        <w:tc>
          <w:tcPr/>
          <w:p>
            <w:pPr>
              <w:pStyle w:val="Compact"/>
              <w:jc w:val="left"/>
            </w:pPr>
            <w:r>
              <w:t xml:space="preserve">Prepared By</w:t>
            </w:r>
          </w:p>
        </w:tc>
        <w:tc>
          <w:tcPr/>
          <w:p>
            <w:pPr>
              <w:pStyle w:val="Compact"/>
              <w:jc w:val="left"/>
            </w:pPr>
            <w:r>
              <w:t xml:space="preserve">MedTech Solutions KSA – Jeddah Branch</w:t>
            </w:r>
          </w:p>
        </w:tc>
      </w:tr>
      <w:tr>
        <w:tc>
          <w:tcPr/>
          <w:p>
            <w:pPr>
              <w:pStyle w:val="Compact"/>
              <w:jc w:val="left"/>
            </w:pPr>
            <w:r>
              <w:t xml:space="preserve">Address</w:t>
            </w:r>
          </w:p>
        </w:tc>
        <w:tc>
          <w:tcPr/>
          <w:p>
            <w:pPr>
              <w:pStyle w:val="Compact"/>
              <w:jc w:val="left"/>
            </w:pPr>
            <w:r>
              <w:t xml:space="preserve">King Fahd Road, Al Shati District, Jeddah 23412, Saudi Arabia</w:t>
            </w:r>
          </w:p>
        </w:tc>
      </w:tr>
      <w:tr>
        <w:tc>
          <w:tcPr/>
          <w:p>
            <w:pPr>
              <w:pStyle w:val="Compact"/>
              <w:jc w:val="left"/>
            </w:pPr>
            <w:r>
              <w:t xml:space="preserve">Contact</w:t>
            </w:r>
          </w:p>
        </w:tc>
        <w:tc>
          <w:tcPr/>
          <w:p>
            <w:pPr>
              <w:pStyle w:val="Compact"/>
              <w:jc w:val="left"/>
            </w:pPr>
            <w:r>
              <w:t xml:space="preserve">quotation@medtechksa.sa | +966 12 555 0147</w:t>
            </w:r>
          </w:p>
        </w:tc>
      </w:tr>
      <w:tr>
        <w:tc>
          <w:tcPr/>
          <w:p>
            <w:pPr>
              <w:pStyle w:val="Compact"/>
              <w:jc w:val="left"/>
            </w:pPr>
            <w:r>
              <w:t xml:space="preserve">Client</w:t>
            </w:r>
          </w:p>
        </w:tc>
        <w:tc>
          <w:tcPr/>
          <w:p>
            <w:pPr>
              <w:pStyle w:val="Compact"/>
              <w:jc w:val="left"/>
            </w:pPr>
            <w:r>
              <w:t xml:space="preserve">Al Noor Medical Center, Jeddah, Saudi Arabia</w:t>
            </w:r>
          </w:p>
        </w:tc>
      </w:tr>
      <w:tr>
        <w:tc>
          <w:tcPr/>
          <w:p>
            <w:pPr>
              <w:pStyle w:val="Compact"/>
              <w:jc w:val="left"/>
            </w:pPr>
            <w:r>
              <w:t xml:space="preserve">Client Reference</w:t>
            </w:r>
          </w:p>
        </w:tc>
        <w:tc>
          <w:tcPr/>
          <w:p>
            <w:pPr>
              <w:pStyle w:val="Compact"/>
              <w:jc w:val="left"/>
            </w:pPr>
            <w:r>
              <w:t xml:space="preserve">ANC-HR-2025-118</w:t>
            </w:r>
          </w:p>
        </w:tc>
      </w:tr>
      <w:tr>
        <w:tc>
          <w:tcPr/>
          <w:p>
            <w:pPr>
              <w:pStyle w:val="Compact"/>
              <w:jc w:val="left"/>
            </w:pPr>
            <w:r>
              <w:t xml:space="preserve">Project Location</w:t>
            </w:r>
          </w:p>
        </w:tc>
        <w:tc>
          <w:tcPr/>
          <w:p>
            <w:pPr>
              <w:pStyle w:val="Compact"/>
              <w:jc w:val="left"/>
            </w:pPr>
            <w:r>
              <w:t xml:space="preserve">Saudi Arabia Jeddah – Al Noor Medical Center, King Fahd Road</w:t>
            </w:r>
          </w:p>
        </w:tc>
      </w:tr>
    </w:tbl>
    <w:bookmarkStart w:id="22" w:name="purpose-of-this-quotation-estimate"/>
    <w:p>
      <w:pPr>
        <w:pStyle w:val="Heading3"/>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MedTech Solutions KSA to provide a comprehensive and itemized financial proposal for the engagement of a qualified</w:t>
      </w:r>
      <w:r>
        <w:t xml:space="preserve"> </w:t>
      </w:r>
      <w:r>
        <w:t xml:space="preserve">Biomedical Engineer</w:t>
      </w:r>
      <w:r>
        <w:t xml:space="preserve"> </w:t>
      </w:r>
      <w:r>
        <w:t xml:space="preserve">to deliver specialized technical services at the Al Noor Medical Center facility located in</w:t>
      </w:r>
      <w:r>
        <w:t xml:space="preserve"> </w:t>
      </w:r>
      <w:r>
        <w:t xml:space="preserve">Saudi Arabia Jeddah</w:t>
      </w:r>
      <w:r>
        <w:t xml:space="preserve">. This document outlines the full scope of work, associated costs, payment terms, and conditions governing the professional engagement. The</w:t>
      </w:r>
      <w:r>
        <w:t xml:space="preserve"> </w:t>
      </w:r>
      <w:r>
        <w:t xml:space="preserve">Quotation Estimate</w:t>
      </w:r>
      <w:r>
        <w:t xml:space="preserve"> </w:t>
      </w:r>
      <w:r>
        <w:t xml:space="preserve">is prepared in accordance with the regulatory standards set forth by the Saudi Food and Drug Authority (SFDA) and the Ministry of Health, Kingdom of Saudi Arabia, ensuring full compliance with all local and national requirements for biomedical engineering services in the Jeddah region.</w:t>
      </w:r>
    </w:p>
    <w:bookmarkEnd w:id="22"/>
    <w:bookmarkStart w:id="23" w:name="Xa7f1faa461b03cc210eb26f9b04e497671c78c1"/>
    <w:p>
      <w:pPr>
        <w:pStyle w:val="Heading3"/>
      </w:pPr>
      <w:r>
        <w:t xml:space="preserve">2. Scope of Work – Biomedical Engineer Services</w:t>
      </w:r>
    </w:p>
    <w:p>
      <w:pPr>
        <w:pStyle w:val="FirstParagraph"/>
      </w:pPr>
      <w:r>
        <w:t xml:space="preserve">The</w:t>
      </w:r>
      <w:r>
        <w:t xml:space="preserve"> </w:t>
      </w:r>
      <w:r>
        <w:t xml:space="preserve">Biomedical Engineer</w:t>
      </w:r>
      <w:r>
        <w:t xml:space="preserve"> </w:t>
      </w:r>
      <w:r>
        <w:t xml:space="preserve">engaged under this</w:t>
      </w:r>
      <w:r>
        <w:t xml:space="preserve"> </w:t>
      </w:r>
      <w:r>
        <w:t xml:space="preserve">Quotation Estimate</w:t>
      </w:r>
      <w:r>
        <w:t xml:space="preserve"> </w:t>
      </w:r>
      <w:r>
        <w:t xml:space="preserve">shall perform the following duties and responsibilities at the client's facility in</w:t>
      </w:r>
      <w:r>
        <w:t xml:space="preserve"> </w:t>
      </w:r>
      <w:r>
        <w:t xml:space="preserve">Saudi Arabia Jeddah</w:t>
      </w:r>
      <w:r>
        <w:t xml:space="preserve">:</w:t>
      </w:r>
    </w:p>
    <w:p>
      <w:pPr>
        <w:numPr>
          <w:ilvl w:val="0"/>
          <w:numId w:val="1001"/>
        </w:numPr>
        <w:pStyle w:val="Compact"/>
      </w:pPr>
      <w:r>
        <w:t xml:space="preserve">Installation, commissioning, and initial calibration of all medical diagnostic and therapeutic equipment including MRI scanners, CT units, ultrasound systems, patient monitors, ventilators, and surgical instruments.</w:t>
      </w:r>
    </w:p>
    <w:p>
      <w:pPr>
        <w:numPr>
          <w:ilvl w:val="0"/>
          <w:numId w:val="1001"/>
        </w:numPr>
        <w:pStyle w:val="Compact"/>
      </w:pPr>
      <w:r>
        <w:t xml:space="preserve">Preventive maintenance scheduling and execution for a minimum of 120 medical devices across all departments of the facility in Jeddah, Saudi Arabia.</w:t>
      </w:r>
    </w:p>
    <w:p>
      <w:pPr>
        <w:numPr>
          <w:ilvl w:val="0"/>
          <w:numId w:val="1001"/>
        </w:numPr>
        <w:pStyle w:val="Compact"/>
      </w:pPr>
      <w:r>
        <w:t xml:space="preserve">Corrective maintenance and troubleshooting of biomedical equipment with a guaranteed response time of no more than four (4) hours for critical life-support devices.</w:t>
      </w:r>
    </w:p>
    <w:p>
      <w:pPr>
        <w:numPr>
          <w:ilvl w:val="0"/>
          <w:numId w:val="1001"/>
        </w:numPr>
        <w:pStyle w:val="Compact"/>
      </w:pPr>
      <w:r>
        <w:t xml:space="preserve">Annual safety inspections and electrical safety testing in compliance with IEC 62353 and SFDA regulatory guidelines applicable in Saudi Arabia.</w:t>
      </w:r>
    </w:p>
    <w:p>
      <w:pPr>
        <w:numPr>
          <w:ilvl w:val="0"/>
          <w:numId w:val="1001"/>
        </w:numPr>
        <w:pStyle w:val="Compact"/>
      </w:pPr>
      <w:r>
        <w:t xml:space="preserve">Management and maintenance of the biomedical equipment asset registry, including firmware updates, software patches, and documentation of all service interventions.</w:t>
      </w:r>
    </w:p>
    <w:p>
      <w:pPr>
        <w:numPr>
          <w:ilvl w:val="0"/>
          <w:numId w:val="1001"/>
        </w:numPr>
        <w:pStyle w:val="Compact"/>
      </w:pPr>
      <w:r>
        <w:t xml:space="preserve">Training of clinical and technical staff at the Al Noor Medical Center on proper operation, basic troubleshooting, and safety protocols for all biomedical devices.</w:t>
      </w:r>
    </w:p>
    <w:p>
      <w:pPr>
        <w:numPr>
          <w:ilvl w:val="0"/>
          <w:numId w:val="1001"/>
        </w:numPr>
        <w:pStyle w:val="Compact"/>
      </w:pPr>
      <w:r>
        <w:t xml:space="preserve">Preparation of monthly and quarterly technical reports detailing equipment performance metrics, downtime analysis, and recommendations for capital replacement or upgrade.</w:t>
      </w:r>
    </w:p>
    <w:p>
      <w:pPr>
        <w:numPr>
          <w:ilvl w:val="0"/>
          <w:numId w:val="1001"/>
        </w:numPr>
        <w:pStyle w:val="Compact"/>
      </w:pPr>
      <w:r>
        <w:t xml:space="preserve">Coordination with original equipment manufacturers (OEMs) and authorized service partners for warranty claims, spare parts procurement, and major overhauls.</w:t>
      </w:r>
    </w:p>
    <w:p>
      <w:pPr>
        <w:numPr>
          <w:ilvl w:val="0"/>
          <w:numId w:val="1001"/>
        </w:numPr>
        <w:pStyle w:val="Compact"/>
      </w:pPr>
      <w:r>
        <w:t xml:space="preserve">Compliance auditing to ensure all biomedical engineering practices meet the standards mandated by the Saudi Ministry of Health and the Saudi Commission for Health Specialties (SCFHS).</w:t>
      </w:r>
    </w:p>
    <w:p>
      <w:pPr>
        <w:numPr>
          <w:ilvl w:val="0"/>
          <w:numId w:val="1001"/>
        </w:numPr>
        <w:pStyle w:val="Compact"/>
      </w:pPr>
      <w:r>
        <w:t xml:space="preserve">On-call emergency support availability for critical biomedical failures, ensuring uninterrupted patient care delivery at the Jeddah facility.</w:t>
      </w:r>
    </w:p>
    <w:bookmarkEnd w:id="23"/>
    <w:bookmarkStart w:id="24" w:name="itemized-cost-breakdown"/>
    <w:p>
      <w:pPr>
        <w:pStyle w:val="Heading3"/>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Unit Cost (SAR)</w:t>
            </w:r>
          </w:p>
        </w:tc>
        <w:tc>
          <w:tcPr/>
          <w:p>
            <w:pPr>
              <w:pStyle w:val="Compact"/>
              <w:jc w:val="left"/>
            </w:pPr>
            <w:r>
              <w:t xml:space="preserve">Total (SAR)</w:t>
            </w:r>
          </w:p>
        </w:tc>
      </w:tr>
      <w:tr>
        <w:tc>
          <w:tcPr/>
          <w:p>
            <w:pPr>
              <w:pStyle w:val="Compact"/>
              <w:jc w:val="left"/>
            </w:pPr>
            <w:r>
              <w:t xml:space="preserve">01</w:t>
            </w:r>
          </w:p>
        </w:tc>
        <w:tc>
          <w:tcPr/>
          <w:p>
            <w:pPr>
              <w:pStyle w:val="Compact"/>
              <w:jc w:val="left"/>
            </w:pPr>
            <w:r>
              <w:t xml:space="preserve">Biomedical Engineer – Senior Level (Full-Time Engagement, 8 hrs/day, 5 days/week)</w:t>
            </w:r>
          </w:p>
        </w:tc>
        <w:tc>
          <w:tcPr/>
          <w:p>
            <w:pPr>
              <w:pStyle w:val="Compact"/>
              <w:jc w:val="left"/>
            </w:pPr>
            <w:r>
              <w:t xml:space="preserve">12 Months</w:t>
            </w:r>
          </w:p>
        </w:tc>
        <w:tc>
          <w:tcPr/>
          <w:p>
            <w:pPr>
              <w:pStyle w:val="Compact"/>
              <w:jc w:val="left"/>
            </w:pPr>
            <w:r>
              <w:t xml:space="preserve">28,500 / month</w:t>
            </w:r>
          </w:p>
        </w:tc>
        <w:tc>
          <w:tcPr/>
          <w:p>
            <w:pPr>
              <w:pStyle w:val="Compact"/>
              <w:jc w:val="left"/>
            </w:pPr>
            <w:r>
              <w:t xml:space="preserve">342,000</w:t>
            </w:r>
          </w:p>
        </w:tc>
      </w:tr>
      <w:tr>
        <w:tc>
          <w:tcPr/>
          <w:p>
            <w:pPr>
              <w:pStyle w:val="Compact"/>
              <w:jc w:val="left"/>
            </w:pPr>
            <w:r>
              <w:t xml:space="preserve">02</w:t>
            </w:r>
          </w:p>
        </w:tc>
        <w:tc>
          <w:tcPr/>
          <w:p>
            <w:pPr>
              <w:pStyle w:val="Compact"/>
              <w:jc w:val="left"/>
            </w:pPr>
            <w:r>
              <w:t xml:space="preserve">Preventive Maintenance Program – All Medical Devices (120 units)</w:t>
            </w:r>
          </w:p>
        </w:tc>
        <w:tc>
          <w:tcPr/>
          <w:p>
            <w:pPr>
              <w:pStyle w:val="Compact"/>
              <w:jc w:val="left"/>
            </w:pPr>
            <w:r>
              <w:t xml:space="preserve">12 Months</w:t>
            </w:r>
          </w:p>
        </w:tc>
        <w:tc>
          <w:tcPr/>
          <w:p>
            <w:pPr>
              <w:pStyle w:val="Compact"/>
              <w:jc w:val="left"/>
            </w:pPr>
            <w:r>
              <w:t xml:space="preserve">18,000 / month</w:t>
            </w:r>
          </w:p>
        </w:tc>
        <w:tc>
          <w:tcPr/>
          <w:p>
            <w:pPr>
              <w:pStyle w:val="Compact"/>
              <w:jc w:val="left"/>
            </w:pPr>
            <w:r>
              <w:t xml:space="preserve">216,000</w:t>
            </w:r>
          </w:p>
        </w:tc>
      </w:tr>
      <w:tr>
        <w:tc>
          <w:tcPr/>
          <w:p>
            <w:pPr>
              <w:pStyle w:val="Compact"/>
              <w:jc w:val="left"/>
            </w:pPr>
            <w:r>
              <w:t xml:space="preserve">03</w:t>
            </w:r>
          </w:p>
        </w:tc>
        <w:tc>
          <w:tcPr/>
          <w:p>
            <w:pPr>
              <w:pStyle w:val="Compact"/>
              <w:jc w:val="left"/>
            </w:pPr>
            <w:r>
              <w:t xml:space="preserve">Corrective Maintenance &amp; Emergency Call-Out (Unlimited Calls)</w:t>
            </w:r>
          </w:p>
        </w:tc>
        <w:tc>
          <w:tcPr/>
          <w:p>
            <w:pPr>
              <w:pStyle w:val="Compact"/>
              <w:jc w:val="left"/>
            </w:pPr>
            <w:r>
              <w:t xml:space="preserve">12 Months</w:t>
            </w:r>
          </w:p>
        </w:tc>
        <w:tc>
          <w:tcPr/>
          <w:p>
            <w:pPr>
              <w:pStyle w:val="Compact"/>
              <w:jc w:val="left"/>
            </w:pPr>
            <w:r>
              <w:t xml:space="preserve">12,000 / month</w:t>
            </w:r>
          </w:p>
        </w:tc>
        <w:tc>
          <w:tcPr/>
          <w:p>
            <w:pPr>
              <w:pStyle w:val="Compact"/>
              <w:jc w:val="left"/>
            </w:pPr>
            <w:r>
              <w:t xml:space="preserve">144,000</w:t>
            </w:r>
          </w:p>
        </w:tc>
      </w:tr>
      <w:tr>
        <w:tc>
          <w:tcPr/>
          <w:p>
            <w:pPr>
              <w:pStyle w:val="Compact"/>
              <w:jc w:val="left"/>
            </w:pPr>
            <w:r>
              <w:t xml:space="preserve">04</w:t>
            </w:r>
          </w:p>
        </w:tc>
        <w:tc>
          <w:tcPr/>
          <w:p>
            <w:pPr>
              <w:pStyle w:val="Compact"/>
              <w:jc w:val="left"/>
            </w:pPr>
            <w:r>
              <w:t xml:space="preserve">Annual Safety Inspection &amp; IEC 62353 Compliance Testing</w:t>
            </w:r>
          </w:p>
        </w:tc>
        <w:tc>
          <w:tcPr/>
          <w:p>
            <w:pPr>
              <w:pStyle w:val="Compact"/>
              <w:jc w:val="left"/>
            </w:pPr>
            <w:r>
              <w:t xml:space="preserve">1 Year</w:t>
            </w:r>
          </w:p>
        </w:tc>
        <w:tc>
          <w:tcPr/>
          <w:p>
            <w:pPr>
              <w:pStyle w:val="Compact"/>
              <w:jc w:val="left"/>
            </w:pPr>
            <w:r>
              <w:t xml:space="preserve">45,000 / year</w:t>
            </w:r>
          </w:p>
        </w:tc>
        <w:tc>
          <w:tcPr/>
          <w:p>
            <w:pPr>
              <w:pStyle w:val="Compact"/>
              <w:jc w:val="left"/>
            </w:pPr>
            <w:r>
              <w:t xml:space="preserve">45,000</w:t>
            </w:r>
          </w:p>
        </w:tc>
      </w:tr>
      <w:tr>
        <w:tc>
          <w:tcPr/>
          <w:p>
            <w:pPr>
              <w:pStyle w:val="Compact"/>
              <w:jc w:val="left"/>
            </w:pPr>
            <w:r>
              <w:t xml:space="preserve">05</w:t>
            </w:r>
          </w:p>
        </w:tc>
        <w:tc>
          <w:tcPr/>
          <w:p>
            <w:pPr>
              <w:pStyle w:val="Compact"/>
              <w:jc w:val="left"/>
            </w:pPr>
            <w:r>
              <w:t xml:space="preserve">Staff Training Program (4 sessions per year, up to 30 participants each)</w:t>
            </w:r>
          </w:p>
        </w:tc>
        <w:tc>
          <w:tcPr/>
          <w:p>
            <w:pPr>
              <w:pStyle w:val="Compact"/>
              <w:jc w:val="left"/>
            </w:pPr>
            <w:r>
              <w:t xml:space="preserve">12 Months</w:t>
            </w:r>
          </w:p>
        </w:tc>
        <w:tc>
          <w:tcPr/>
          <w:p>
            <w:pPr>
              <w:pStyle w:val="Compact"/>
              <w:jc w:val="left"/>
            </w:pPr>
            <w:r>
              <w:t xml:space="preserve">8,500 / session</w:t>
            </w:r>
          </w:p>
        </w:tc>
        <w:tc>
          <w:tcPr/>
          <w:p>
            <w:pPr>
              <w:pStyle w:val="Compact"/>
              <w:jc w:val="left"/>
            </w:pPr>
            <w:r>
              <w:t xml:space="preserve">34,000</w:t>
            </w:r>
          </w:p>
        </w:tc>
      </w:tr>
      <w:tr>
        <w:tc>
          <w:tcPr/>
          <w:p>
            <w:pPr>
              <w:pStyle w:val="Compact"/>
              <w:jc w:val="left"/>
            </w:pPr>
            <w:r>
              <w:t xml:space="preserve">06</w:t>
            </w:r>
          </w:p>
        </w:tc>
        <w:tc>
          <w:tcPr/>
          <w:p>
            <w:pPr>
              <w:pStyle w:val="Compact"/>
              <w:jc w:val="left"/>
            </w:pPr>
            <w:r>
              <w:t xml:space="preserve">Biomedical Asset Registry Software License &amp; Cloud Hosting</w:t>
            </w:r>
          </w:p>
        </w:tc>
        <w:tc>
          <w:tcPr/>
          <w:p>
            <w:pPr>
              <w:pStyle w:val="Compact"/>
              <w:jc w:val="left"/>
            </w:pPr>
            <w:r>
              <w:t xml:space="preserve">12 Months</w:t>
            </w:r>
          </w:p>
        </w:tc>
        <w:tc>
          <w:tcPr/>
          <w:p>
            <w:pPr>
              <w:pStyle w:val="Compact"/>
              <w:jc w:val="left"/>
            </w:pPr>
            <w:r>
              <w:t xml:space="preserve">6,000 / month</w:t>
            </w:r>
          </w:p>
        </w:tc>
        <w:tc>
          <w:tcPr/>
          <w:p>
            <w:pPr>
              <w:pStyle w:val="Compact"/>
              <w:jc w:val="left"/>
            </w:pPr>
            <w:r>
              <w:t xml:space="preserve">72,000</w:t>
            </w:r>
          </w:p>
        </w:tc>
      </w:tr>
      <w:tr>
        <w:tc>
          <w:tcPr/>
          <w:p>
            <w:pPr>
              <w:pStyle w:val="Compact"/>
              <w:jc w:val="left"/>
            </w:pPr>
            <w:r>
              <w:t xml:space="preserve">07</w:t>
            </w:r>
          </w:p>
        </w:tc>
        <w:tc>
          <w:tcPr/>
          <w:p>
            <w:pPr>
              <w:pStyle w:val="Compact"/>
              <w:jc w:val="left"/>
            </w:pPr>
            <w:r>
              <w:t xml:space="preserve">Consumables, Calibration Standards &amp; Test Equipment Usage</w:t>
            </w:r>
          </w:p>
        </w:tc>
        <w:tc>
          <w:tcPr/>
          <w:p>
            <w:pPr>
              <w:pStyle w:val="Compact"/>
              <w:jc w:val="left"/>
            </w:pPr>
            <w:r>
              <w:t xml:space="preserve">12 Months</w:t>
            </w:r>
          </w:p>
        </w:tc>
        <w:tc>
          <w:tcPr/>
          <w:p>
            <w:pPr>
              <w:pStyle w:val="Compact"/>
              <w:jc w:val="left"/>
            </w:pPr>
            <w:r>
              <w:t xml:space="preserve">9,500 / month</w:t>
            </w:r>
          </w:p>
        </w:tc>
        <w:tc>
          <w:tcPr/>
          <w:p>
            <w:pPr>
              <w:pStyle w:val="Compact"/>
              <w:jc w:val="left"/>
            </w:pPr>
            <w:r>
              <w:t xml:space="preserve">114,000</w:t>
            </w:r>
          </w:p>
        </w:tc>
      </w:tr>
      <w:tr>
        <w:tc>
          <w:tcPr/>
          <w:p>
            <w:pPr>
              <w:pStyle w:val="Compact"/>
              <w:jc w:val="left"/>
            </w:pPr>
            <w:r>
              <w:t xml:space="preserve">08</w:t>
            </w:r>
          </w:p>
        </w:tc>
        <w:tc>
          <w:tcPr/>
          <w:p>
            <w:pPr>
              <w:pStyle w:val="Compact"/>
              <w:jc w:val="left"/>
            </w:pPr>
            <w:r>
              <w:t xml:space="preserve">Regulatory Compliance Auditing &amp; SFDA Reporting (Quarterly)</w:t>
            </w:r>
          </w:p>
        </w:tc>
        <w:tc>
          <w:tcPr/>
          <w:p>
            <w:pPr>
              <w:pStyle w:val="Compact"/>
              <w:jc w:val="left"/>
            </w:pPr>
            <w:r>
              <w:t xml:space="preserve">12 Months</w:t>
            </w:r>
          </w:p>
        </w:tc>
        <w:tc>
          <w:tcPr/>
          <w:p>
            <w:pPr>
              <w:pStyle w:val="Compact"/>
              <w:jc w:val="left"/>
            </w:pPr>
            <w:r>
              <w:t xml:space="preserve">15,000 / quarter</w:t>
            </w:r>
          </w:p>
        </w:tc>
        <w:tc>
          <w:tcPr/>
          <w:p>
            <w:pPr>
              <w:pStyle w:val="Compact"/>
              <w:jc w:val="left"/>
            </w:pPr>
            <w:r>
              <w:t xml:space="preserve">60,000</w:t>
            </w:r>
          </w:p>
        </w:tc>
      </w:tr>
      <w:tr>
        <w:tc>
          <w:tcPr/>
          <w:p>
            <w:pPr>
              <w:pStyle w:val="Compact"/>
              <w:jc w:val="left"/>
            </w:pPr>
            <w:r>
              <w:t xml:space="preserve">09</w:t>
            </w:r>
          </w:p>
        </w:tc>
        <w:tc>
          <w:tcPr/>
          <w:p>
            <w:pPr>
              <w:pStyle w:val="Compact"/>
              <w:jc w:val="left"/>
            </w:pPr>
            <w:r>
              <w:t xml:space="preserve">Travel &amp; Local Transportation within Jeddah, Saudi Arabia</w:t>
            </w:r>
          </w:p>
        </w:tc>
        <w:tc>
          <w:tcPr/>
          <w:p>
            <w:pPr>
              <w:pStyle w:val="Compact"/>
              <w:jc w:val="left"/>
            </w:pPr>
            <w:r>
              <w:t xml:space="preserve">12 Months</w:t>
            </w:r>
          </w:p>
        </w:tc>
        <w:tc>
          <w:tcPr/>
          <w:p>
            <w:pPr>
              <w:pStyle w:val="Compact"/>
              <w:jc w:val="left"/>
            </w:pPr>
            <w:r>
              <w:t xml:space="preserve">3,500 / month</w:t>
            </w:r>
          </w:p>
        </w:tc>
        <w:tc>
          <w:tcPr/>
          <w:p>
            <w:pPr>
              <w:pStyle w:val="Compact"/>
              <w:jc w:val="left"/>
            </w:pPr>
            <w:r>
              <w:t xml:space="preserve">42,000</w:t>
            </w:r>
          </w:p>
        </w:tc>
      </w:tr>
      <w:tr>
        <w:tc>
          <w:tcPr/>
          <w:p>
            <w:pPr>
              <w:pStyle w:val="Compact"/>
              <w:jc w:val="left"/>
            </w:pPr>
            <w:r>
              <w:t xml:space="preserve">10</w:t>
            </w:r>
          </w:p>
        </w:tc>
        <w:tc>
          <w:tcPr/>
          <w:p>
            <w:pPr>
              <w:pStyle w:val="Compact"/>
              <w:jc w:val="left"/>
            </w:pPr>
            <w:r>
              <w:t xml:space="preserve">Project Management, Reporting &amp; Administrative Overhead</w:t>
            </w:r>
          </w:p>
        </w:tc>
        <w:tc>
          <w:tcPr/>
          <w:p>
            <w:pPr>
              <w:pStyle w:val="Compact"/>
              <w:jc w:val="left"/>
            </w:pPr>
            <w:r>
              <w:t xml:space="preserve">12 Months</w:t>
            </w:r>
          </w:p>
        </w:tc>
        <w:tc>
          <w:tcPr/>
          <w:p>
            <w:pPr>
              <w:pStyle w:val="Compact"/>
              <w:jc w:val="left"/>
            </w:pPr>
            <w:r>
              <w:t xml:space="preserve">5,000 / month</w:t>
            </w:r>
          </w:p>
        </w:tc>
        <w:tc>
          <w:tcPr/>
          <w:p>
            <w:pPr>
              <w:pStyle w:val="Compact"/>
              <w:jc w:val="left"/>
            </w:pPr>
            <w:r>
              <w:t xml:space="preserve">60,000</w:t>
            </w:r>
          </w:p>
        </w:tc>
      </w:tr>
      <w:tr>
        <w:tc>
          <w:tcPr>
            <w:gridSpan w:val="4"/>
          </w:tcPr>
          <w:p>
            <w:pPr>
              <w:pStyle w:val="Compact"/>
              <w:jc w:val="left"/>
            </w:pPr>
            <w:r>
              <w:t xml:space="preserve">Subtotal (SAR)</w:t>
            </w:r>
          </w:p>
        </w:tc>
        <w:tc>
          <w:tcPr/>
          <w:p>
            <w:pPr>
              <w:pStyle w:val="Compact"/>
              <w:jc w:val="left"/>
            </w:pPr>
            <w:r>
              <w:t xml:space="preserve">1,129,000</w:t>
            </w:r>
          </w:p>
        </w:tc>
      </w:tr>
      <w:tr>
        <w:tc>
          <w:tcPr>
            <w:gridSpan w:val="4"/>
          </w:tcPr>
          <w:p>
            <w:pPr>
              <w:pStyle w:val="Compact"/>
              <w:jc w:val="left"/>
            </w:pPr>
            <w:r>
              <w:t xml:space="preserve">VAT @ 15% (Saudi Arabia)</w:t>
            </w:r>
          </w:p>
        </w:tc>
        <w:tc>
          <w:tcPr/>
          <w:p>
            <w:pPr>
              <w:pStyle w:val="Compact"/>
              <w:jc w:val="left"/>
            </w:pPr>
            <w:r>
              <w:t xml:space="preserve">169,350</w:t>
            </w:r>
          </w:p>
        </w:tc>
      </w:tr>
      <w:tr>
        <w:tc>
          <w:tcPr>
            <w:gridSpan w:val="4"/>
          </w:tcPr>
          <w:p>
            <w:pPr>
              <w:pStyle w:val="Compact"/>
              <w:jc w:val="left"/>
            </w:pPr>
            <w:r>
              <w:t xml:space="preserve">GRAND TOTAL (SAR)</w:t>
            </w:r>
          </w:p>
        </w:tc>
        <w:tc>
          <w:tcPr/>
          <w:p>
            <w:pPr>
              <w:pStyle w:val="Compact"/>
              <w:jc w:val="left"/>
            </w:pPr>
            <w:r>
              <w:t xml:space="preserve">1,298,350</w:t>
            </w:r>
          </w:p>
        </w:tc>
      </w:tr>
    </w:tbl>
    <w:bookmarkEnd w:id="24"/>
    <w:bookmarkStart w:id="25" w:name="payment-terms-schedule"/>
    <w:p>
      <w:pPr>
        <w:pStyle w:val="Heading3"/>
      </w:pPr>
      <w:r>
        <w:t xml:space="preserve">4. Payment Terms &amp; Schedule</w:t>
      </w:r>
    </w:p>
    <w:p>
      <w:pPr>
        <w:pStyle w:val="FirstParagraph"/>
      </w:pPr>
      <w:r>
        <w:t xml:space="preserve">The total amount stated in this</w:t>
      </w:r>
      <w:r>
        <w:t xml:space="preserve"> </w:t>
      </w:r>
      <w:r>
        <w:t xml:space="preserve">Quotation Estimate</w:t>
      </w:r>
      <w:r>
        <w:t xml:space="preserve"> </w:t>
      </w:r>
      <w:r>
        <w:t xml:space="preserve">shall be paid by the client in accordance with the following schedule, all amounts denominated in Saudi Riyals (SAR):</w:t>
      </w:r>
    </w:p>
    <w:p>
      <w:pPr>
        <w:numPr>
          <w:ilvl w:val="0"/>
          <w:numId w:val="1002"/>
        </w:numPr>
        <w:pStyle w:val="Compact"/>
      </w:pPr>
      <w:r>
        <w:rPr>
          <w:bCs/>
          <w:b/>
        </w:rPr>
        <w:t xml:space="preserve">Advance Payment (30%):</w:t>
      </w:r>
      <w:r>
        <w:t xml:space="preserve"> </w:t>
      </w:r>
      <w:r>
        <w:t xml:space="preserve">SAR 389,505 – Due within ten (10) business days of contract signature and acceptance of this Quotation Estimate.</w:t>
      </w:r>
    </w:p>
    <w:p>
      <w:pPr>
        <w:numPr>
          <w:ilvl w:val="0"/>
          <w:numId w:val="1002"/>
        </w:numPr>
        <w:pStyle w:val="Compact"/>
      </w:pPr>
      <w:r>
        <w:rPr>
          <w:bCs/>
          <w:b/>
        </w:rPr>
        <w:t xml:space="preserve">Quarterly Installments (20% each):</w:t>
      </w:r>
      <w:r>
        <w:t xml:space="preserve"> </w:t>
      </w:r>
      <w:r>
        <w:t xml:space="preserve">SAR 259,670 – Payable at the end of each calendar quarter (Q1, Q2, Q3, Q4) upon submission of the quarterly performance report by the Biomedical Engineer.</w:t>
      </w:r>
    </w:p>
    <w:p>
      <w:pPr>
        <w:numPr>
          <w:ilvl w:val="0"/>
          <w:numId w:val="1002"/>
        </w:numPr>
        <w:pStyle w:val="Compact"/>
      </w:pPr>
      <w:r>
        <w:rPr>
          <w:bCs/>
          <w:b/>
        </w:rPr>
        <w:t xml:space="preserve">Final Settlement (10%):</w:t>
      </w:r>
      <w:r>
        <w:t xml:space="preserve"> </w:t>
      </w:r>
      <w:r>
        <w:t xml:space="preserve">SAR 129,835 – Payable within fifteen (15) business days of the completion of the full twelve-month service period and delivery of the final annual compliance report.</w:t>
      </w:r>
    </w:p>
    <w:bookmarkEnd w:id="25"/>
    <w:bookmarkStart w:id="26" w:name="terms-and-conditions"/>
    <w:p>
      <w:pPr>
        <w:pStyle w:val="Heading3"/>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sixty (60) calendar days from the date of issue. Beyond this period, all pricing is subject to revision based on prevailing market conditions in Saudi Arabia.</w:t>
      </w:r>
    </w:p>
    <w:p>
      <w:pPr>
        <w:numPr>
          <w:ilvl w:val="0"/>
          <w:numId w:val="1003"/>
        </w:numPr>
        <w:pStyle w:val="Compact"/>
      </w:pPr>
      <w:r>
        <w:t xml:space="preserve">The</w:t>
      </w:r>
      <w:r>
        <w:t xml:space="preserve"> </w:t>
      </w:r>
      <w:r>
        <w:t xml:space="preserve">Biomedical Engineer</w:t>
      </w:r>
      <w:r>
        <w:t xml:space="preserve"> </w:t>
      </w:r>
      <w:r>
        <w:t xml:space="preserve">assigned to this project must hold a valid Iqama (residence permit) in Saudi Arabia, a recognized bachelor's or master's degree in Biomedical Engineering, and a valid professional license issued by the Saudi Commission for Health Specialties (SCFHS).</w:t>
      </w:r>
    </w:p>
    <w:p>
      <w:pPr>
        <w:numPr>
          <w:ilvl w:val="0"/>
          <w:numId w:val="1003"/>
        </w:numPr>
        <w:pStyle w:val="Compact"/>
      </w:pPr>
      <w:r>
        <w:t xml:space="preserve">All services shall be performed at the client's premises in</w:t>
      </w:r>
      <w:r>
        <w:t xml:space="preserve"> </w:t>
      </w:r>
      <w:r>
        <w:t xml:space="preserve">Saudi Arabia Jeddah</w:t>
      </w:r>
      <w:r>
        <w:t xml:space="preserve"> </w:t>
      </w:r>
      <w:r>
        <w:t xml:space="preserve">unless otherwise agreed in writing. Any off-site work (e.g., OEM service centers in Riyadh or Dammam) will be billed separately at a rate of SAR 1,200 per hour plus travel expenses.</w:t>
      </w:r>
    </w:p>
    <w:p>
      <w:pPr>
        <w:numPr>
          <w:ilvl w:val="0"/>
          <w:numId w:val="1003"/>
        </w:numPr>
        <w:pStyle w:val="Compact"/>
      </w:pPr>
      <w:r>
        <w:t xml:space="preserve">The client shall provide the Biomedical Engineer with a dedicated workspace, access to all equipment rooms, and necessary safety equipment at the Jeddah facility.</w:t>
      </w:r>
    </w:p>
    <w:p>
      <w:pPr>
        <w:numPr>
          <w:ilvl w:val="0"/>
          <w:numId w:val="1003"/>
        </w:numPr>
        <w:pStyle w:val="Compact"/>
      </w:pPr>
      <w:r>
        <w:t xml:space="preserve">Confidentiality: All patient data, equipment records, and operational information accessed by the Biomedical Engineer during the course of this engagement are strictly confidential and shall be protected in accordance with Saudi data protection regulations.</w:t>
      </w:r>
    </w:p>
    <w:p>
      <w:pPr>
        <w:numPr>
          <w:ilvl w:val="0"/>
          <w:numId w:val="1003"/>
        </w:numPr>
        <w:pStyle w:val="Compact"/>
      </w:pPr>
      <w:r>
        <w:t xml:space="preserve">Termination: Either party may terminate the agreement with thirty (30) days' written notice. In the event of early termination, the client shall pay for all services rendered up to the termination date.</w:t>
      </w:r>
    </w:p>
    <w:p>
      <w:pPr>
        <w:numPr>
          <w:ilvl w:val="0"/>
          <w:numId w:val="1003"/>
        </w:numPr>
        <w:pStyle w:val="Compact"/>
      </w:pPr>
      <w:r>
        <w:t xml:space="preserve">Warranty: All corrective maintenance work performed by the Biomedical Engineer carries a ninety (90) day warranty on parts and labor, excluding damage caused by misuse or unauthorized third-party intervention.</w:t>
      </w:r>
    </w:p>
    <w:p>
      <w:pPr>
        <w:numPr>
          <w:ilvl w:val="0"/>
          <w:numId w:val="1003"/>
        </w:numPr>
        <w:pStyle w:val="Compact"/>
      </w:pPr>
      <w:r>
        <w:t xml:space="preserve">Governing Law: This Quotation Estimate and the resulting contract shall be governed by and construed in accordance with the laws of the Kingdom of Saudi Arabia. Any disputes shall be resolved through the competent courts in Jeddah, Saudi Arabia.</w:t>
      </w:r>
    </w:p>
    <w:bookmarkEnd w:id="26"/>
    <w:bookmarkStart w:id="27" w:name="acceptance-authorization"/>
    <w:p>
      <w:pPr>
        <w:pStyle w:val="Heading3"/>
      </w:pPr>
      <w:r>
        <w:t xml:space="preserve">6. Acceptance &amp;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the</w:t>
      </w:r>
      <w:r>
        <w:t xml:space="preserve"> </w:t>
      </w:r>
      <w:r>
        <w:t xml:space="preserve">Biomedical Engineer</w:t>
      </w:r>
      <w:r>
        <w:t xml:space="preserve"> </w:t>
      </w:r>
      <w:r>
        <w:t xml:space="preserve">at the facility in</w:t>
      </w:r>
      <w:r>
        <w:t xml:space="preserve"> </w:t>
      </w:r>
      <w:r>
        <w:t xml:space="preserve">Saudi Arabia Jeddah</w:t>
      </w:r>
      <w:r>
        <w:t xml:space="preserve">.</w:t>
      </w:r>
    </w:p>
    <w:p>
      <w:pPr>
        <w:pStyle w:val="BodyText"/>
      </w:pPr>
      <w:r>
        <w:rPr>
          <w:bCs/>
          <w:b/>
        </w:rPr>
        <w:t xml:space="preserve">For MedTech Solutions KSA (Provider)</w:t>
      </w:r>
      <w:r>
        <w:br/>
      </w:r>
      <w:r>
        <w:t xml:space="preserve">Name: ______________________________</w:t>
      </w:r>
      <w:r>
        <w:br/>
      </w:r>
      <w:r>
        <w:t xml:space="preserve">Title: General Manager, Jeddah Branch</w:t>
      </w:r>
      <w:r>
        <w:br/>
      </w:r>
      <w:r>
        <w:t xml:space="preserve">Date: ______________________________</w:t>
      </w:r>
      <w:r>
        <w:br/>
      </w:r>
      <w:r>
        <w:t xml:space="preserve">Signature &amp; Company Stamp</w:t>
      </w:r>
    </w:p>
    <w:p>
      <w:pPr>
        <w:pStyle w:val="BodyText"/>
      </w:pPr>
      <w:r>
        <w:rPr>
          <w:bCs/>
          <w:b/>
        </w:rPr>
        <w:t xml:space="preserve">For Al Noor Medical Center (Client)</w:t>
      </w:r>
      <w:r>
        <w:br/>
      </w:r>
      <w:r>
        <w:t xml:space="preserve">Name: ______________________________</w:t>
      </w:r>
      <w:r>
        <w:br/>
      </w:r>
      <w:r>
        <w:t xml:space="preserve">Title: Director of Facilities &amp; Engineering</w:t>
      </w:r>
      <w:r>
        <w:br/>
      </w:r>
      <w:r>
        <w:t xml:space="preserve">Date: ______________________________</w:t>
      </w:r>
      <w:r>
        <w:br/>
      </w:r>
      <w:r>
        <w:t xml:space="preserve">Signature &amp; Company Stamp</w:t>
      </w:r>
    </w:p>
    <w:p>
      <w:pPr>
        <w:pStyle w:val="BodyText"/>
      </w:pPr>
      <w:r>
        <w:t xml:space="preserve">This Quotation Estimate document (Ref: QE-BME-JED-2025-0472) is issued exclusively for the client named above and is non-transferable. All prices are in Saudi Riyals (SAR) and inclusive of applicable taxes as stated. MedTech Solutions KSA reserves the right to amend this Quotation Estimate in writing prior to contract execution. For queries regarding this Biomedical Engineer engagement in Saudi Arabia Jeddah, please contact our Jeddah office at +966 12 555 0147 or quotation@medtechksa.sa.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Biomedical Engineer - Saudi Arabia Jeddah</dc:title>
  <dc:creator/>
  <dc:language>en</dc:language>
  <cp:keywords/>
  <dcterms:created xsi:type="dcterms:W3CDTF">2026-10-10T01:54:02Z</dcterms:created>
  <dcterms:modified xsi:type="dcterms:W3CDTF">2026-10-10T01:54:02Z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