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Biomedical</w:t>
      </w:r>
      <w:r>
        <w:t xml:space="preserve"> </w:t>
      </w:r>
      <w:r>
        <w:t xml:space="preserve">Engineer</w:t>
      </w:r>
      <w:r>
        <w:t xml:space="preserve"> </w:t>
      </w:r>
      <w:r>
        <w:t xml:space="preserve">Services</w:t>
      </w:r>
      <w:r>
        <w:t xml:space="preserve"> </w:t>
      </w:r>
      <w:r>
        <w:t xml:space="preserve">-</w:t>
      </w:r>
      <w:r>
        <w:t xml:space="preserve"> </w:t>
      </w:r>
      <w:r>
        <w:t xml:space="preserve">Turkey</w:t>
      </w:r>
      <w:r>
        <w:t xml:space="preserve"> </w:t>
      </w:r>
      <w:r>
        <w:t xml:space="preserve">Ankara</w:t>
      </w:r>
    </w:p>
    <w:bookmarkStart w:id="20" w:name="medtech-solutions-ankara-ltd."/>
    <w:p>
      <w:pPr>
        <w:pStyle w:val="Heading1"/>
      </w:pPr>
      <w:r>
        <w:t xml:space="preserve">MedTech Solutions Ankara Ltd.</w:t>
      </w:r>
    </w:p>
    <w:p>
      <w:pPr>
        <w:pStyle w:val="FirstParagraph"/>
      </w:pPr>
      <w:r>
        <w:t xml:space="preserve">Biomedical Engineering &amp; Medical Equipment Services</w:t>
      </w:r>
    </w:p>
    <w:p>
      <w:pPr>
        <w:pStyle w:val="BodyText"/>
      </w:pPr>
      <w:r>
        <w:t xml:space="preserve">Atatürk Bulvarı No. 142, Çankaya, 06700 Ankara, Turkey</w:t>
      </w:r>
    </w:p>
    <w:p>
      <w:pPr>
        <w:pStyle w:val="BodyText"/>
      </w:pPr>
      <w:r>
        <w:t xml:space="preserve">Tel: +90 (312) 445 6789 | Email: info@medtechankara.com.tr</w:t>
      </w:r>
    </w:p>
    <w:p>
      <w:pPr>
        <w:pStyle w:val="BodyText"/>
      </w:pPr>
      <w:r>
        <w:t xml:space="preserve">Tax ID: 1234567890 | MERSIS: 0123456789000012</w:t>
      </w:r>
    </w:p>
    <w:bookmarkEnd w:id="20"/>
    <w:bookmarkStart w:id="21" w:name="quotation-estimate"/>
    <w:p>
      <w:pPr>
        <w:pStyle w:val="Heading2"/>
      </w:pPr>
      <w:r>
        <w:t xml:space="preserve">Quotation Estimate</w:t>
      </w:r>
    </w:p>
    <w:p>
      <w:pPr>
        <w:pStyle w:val="FirstParagraph"/>
      </w:pPr>
      <w:r>
        <w:rPr>
          <w:bCs/>
          <w:b/>
        </w:rPr>
        <w:t xml:space="preserve">Reference No:</w:t>
      </w:r>
      <w:r>
        <w:t xml:space="preserve"> </w:t>
      </w:r>
      <w:r>
        <w:t xml:space="preserve">QTE-2025-BA-0047</w:t>
      </w:r>
    </w:p>
    <w:p>
      <w:pPr>
        <w:pStyle w:val="BodyText"/>
      </w:pPr>
      <w:r>
        <w:rPr>
          <w:bCs/>
          <w:b/>
        </w:rPr>
        <w:t xml:space="preserve">Date Issued:</w:t>
      </w:r>
      <w:r>
        <w:t xml:space="preserve"> </w:t>
      </w:r>
      <w:r>
        <w:t xml:space="preserve">15 June 2025</w:t>
      </w:r>
    </w:p>
    <w:p>
      <w:pPr>
        <w:pStyle w:val="BodyText"/>
      </w:pPr>
      <w:r>
        <w:rPr>
          <w:bCs/>
          <w:b/>
        </w:rPr>
        <w:t xml:space="preserve">Valid Until:</w:t>
      </w:r>
      <w:r>
        <w:t xml:space="preserve"> </w:t>
      </w:r>
      <w:r>
        <w:t xml:space="preserve">15 July 2025</w:t>
      </w:r>
    </w:p>
    <w:p>
      <w:pPr>
        <w:pStyle w:val="BodyText"/>
      </w:pPr>
      <w:r>
        <w:rPr>
          <w:bCs/>
          <w:b/>
        </w:rPr>
        <w:t xml:space="preserve">Page:</w:t>
      </w:r>
      <w:r>
        <w:t xml:space="preserve"> </w:t>
      </w:r>
      <w:r>
        <w:t xml:space="preserve">1 of 1</w:t>
      </w:r>
    </w:p>
    <w:bookmarkEnd w:id="21"/>
    <w:p>
      <w:pPr>
        <w:pStyle w:val="BodyText"/>
      </w:pPr>
      <w:r>
        <w:t xml:space="preserve">1. Client &amp; Project Information</w:t>
      </w:r>
    </w:p>
    <w:bookmarkStart w:id="22" w:name="prepared-for-client"/>
    <w:p>
      <w:pPr>
        <w:pStyle w:val="Heading3"/>
      </w:pPr>
      <w:r>
        <w:t xml:space="preserve">Prepared For (Client)</w:t>
      </w:r>
    </w:p>
    <w:p>
      <w:pPr>
        <w:pStyle w:val="FirstParagraph"/>
      </w:pPr>
      <w:r>
        <w:rPr>
          <w:bCs/>
          <w:b/>
        </w:rPr>
        <w:t xml:space="preserve">Organization:</w:t>
      </w:r>
      <w:r>
        <w:t xml:space="preserve"> </w:t>
      </w:r>
      <w:r>
        <w:t xml:space="preserve">Ankara University Medical Faculty Hospital</w:t>
      </w:r>
    </w:p>
    <w:p>
      <w:pPr>
        <w:pStyle w:val="BodyText"/>
      </w:pPr>
      <w:r>
        <w:rPr>
          <w:bCs/>
          <w:b/>
        </w:rPr>
        <w:t xml:space="preserve">Department:</w:t>
      </w:r>
      <w:r>
        <w:t xml:space="preserve"> </w:t>
      </w:r>
      <w:r>
        <w:t xml:space="preserve">Clinical Engineering &amp; Biomedical Services</w:t>
      </w:r>
    </w:p>
    <w:p>
      <w:pPr>
        <w:pStyle w:val="BodyText"/>
      </w:pPr>
      <w:r>
        <w:rPr>
          <w:bCs/>
          <w:b/>
        </w:rPr>
        <w:t xml:space="preserve">Contact Person:</w:t>
      </w:r>
      <w:r>
        <w:t xml:space="preserve"> </w:t>
      </w:r>
      <w:r>
        <w:t xml:space="preserve">Dr. Mehmet Yılmaz, Head of Biomedical Engineering</w:t>
      </w:r>
    </w:p>
    <w:p>
      <w:pPr>
        <w:pStyle w:val="BodyText"/>
      </w:pPr>
      <w:r>
        <w:rPr>
          <w:bCs/>
          <w:b/>
        </w:rPr>
        <w:t xml:space="preserve">Address:</w:t>
      </w:r>
      <w:r>
        <w:t xml:space="preserve"> </w:t>
      </w:r>
      <w:r>
        <w:t xml:space="preserve">İbni Sina Cad. No. 1, Sıhhiye, 06100 Ankara, Turkey</w:t>
      </w:r>
    </w:p>
    <w:bookmarkEnd w:id="22"/>
    <w:bookmarkStart w:id="23" w:name="project-scope"/>
    <w:p>
      <w:pPr>
        <w:pStyle w:val="Heading3"/>
      </w:pPr>
      <w:r>
        <w:t xml:space="preserve">Project Scope</w:t>
      </w:r>
    </w:p>
    <w:p>
      <w:pPr>
        <w:pStyle w:val="FirstParagraph"/>
      </w:pPr>
      <w:r>
        <w:rPr>
          <w:bCs/>
          <w:b/>
        </w:rPr>
        <w:t xml:space="preserve">Service Type:</w:t>
      </w:r>
      <w:r>
        <w:t xml:space="preserve"> </w:t>
      </w:r>
      <w:r>
        <w:t xml:space="preserve">Biomedical Engineer Consultancy &amp; Equipment Calibration</w:t>
      </w:r>
    </w:p>
    <w:p>
      <w:pPr>
        <w:pStyle w:val="BodyText"/>
      </w:pPr>
      <w:r>
        <w:rPr>
          <w:bCs/>
          <w:b/>
        </w:rPr>
        <w:t xml:space="preserve">Location:</w:t>
      </w:r>
      <w:r>
        <w:t xml:space="preserve"> </w:t>
      </w:r>
      <w:r>
        <w:t xml:space="preserve">Turkey Ankara – All Hospital Campuses</w:t>
      </w:r>
    </w:p>
    <w:p>
      <w:pPr>
        <w:pStyle w:val="BodyText"/>
      </w:pPr>
      <w:r>
        <w:rPr>
          <w:bCs/>
          <w:b/>
        </w:rPr>
        <w:t xml:space="preserve">Duration:</w:t>
      </w:r>
      <w:r>
        <w:t xml:space="preserve"> </w:t>
      </w:r>
      <w:r>
        <w:t xml:space="preserve">12 months (renewable)</w:t>
      </w:r>
    </w:p>
    <w:p>
      <w:pPr>
        <w:pStyle w:val="BodyText"/>
      </w:pPr>
      <w:r>
        <w:rPr>
          <w:bCs/>
          <w:b/>
        </w:rPr>
        <w:t xml:space="preserve">Regulatory Framework:</w:t>
      </w:r>
      <w:r>
        <w:t xml:space="preserve"> </w:t>
      </w:r>
      <w:r>
        <w:t xml:space="preserve">Turkish Ministry of Health (Sağlık Bakanlığı) Standards</w:t>
      </w:r>
    </w:p>
    <w:bookmarkEnd w:id="23"/>
    <w:p>
      <w:pPr>
        <w:pStyle w:val="BodyText"/>
      </w:pPr>
      <w:r>
        <w:t xml:space="preserve">2. Scope of Work – Biomedical Engineer Services in Turkey Ankara</w:t>
      </w:r>
    </w:p>
    <w:p>
      <w:pPr>
        <w:pStyle w:val="BodyText"/>
      </w:pPr>
      <w:r>
        <w:t xml:space="preserve">This</w:t>
      </w:r>
      <w:r>
        <w:t xml:space="preserve"> </w:t>
      </w:r>
      <w:r>
        <w:t xml:space="preserve">Quotation Estimate</w:t>
      </w:r>
      <w:r>
        <w:t xml:space="preserve"> </w:t>
      </w:r>
      <w:r>
        <w:t xml:space="preserve">outlines the comprehensive professional services to be delivered by a certified</w:t>
      </w:r>
      <w:r>
        <w:t xml:space="preserve"> </w:t>
      </w:r>
      <w:r>
        <w:t xml:space="preserve">Biomedical Engineer</w:t>
      </w:r>
      <w:r>
        <w:t xml:space="preserve"> </w:t>
      </w:r>
      <w:r>
        <w:t xml:space="preserve">operating within the</w:t>
      </w:r>
      <w:r>
        <w:t xml:space="preserve"> </w:t>
      </w:r>
      <w:r>
        <w:t xml:space="preserve">Turkey Ankara</w:t>
      </w:r>
      <w:r>
        <w:t xml:space="preserve"> </w:t>
      </w:r>
      <w:r>
        <w:t xml:space="preserve">metropolitan region. The scope encompasses the full lifecycle management of medical devices, diagnostic imaging systems, laboratory analyzers, and patient monitoring equipment deployed across the client's hospital facilities. All services shall comply with the Turkish Medical Devices Regulation (Tıbbi Cihazlar Yönetmeliği), ISO 13485 quality management standards, and the specific operational protocols established by the Ankara Provincial Health Directorate.</w:t>
      </w:r>
    </w:p>
    <w:p>
      <w:pPr>
        <w:pStyle w:val="BodyText"/>
      </w:pPr>
      <w:r>
        <w:t xml:space="preserve">The</w:t>
      </w:r>
      <w:r>
        <w:t xml:space="preserve"> </w:t>
      </w:r>
      <w:r>
        <w:t xml:space="preserve">Biomedical Engineer</w:t>
      </w:r>
      <w:r>
        <w:t xml:space="preserve"> </w:t>
      </w:r>
      <w:r>
        <w:t xml:space="preserve">assigned to this engagement will hold a minimum of eight (8) years of post-qualification experience in clinical engineering, possess a valid Turkish professional registration (Türk Mühendis ve Mimar Odaları Birliği – TMMOB), and demonstrate proficiency in both Turkish and English technical documentation. The engineer will be physically stationed at the client's primary facility in Turkey Ankara and will conduct scheduled site visits to satellite clinics within the Ankara metropolitan area.</w:t>
      </w:r>
    </w:p>
    <w:p>
      <w:pPr>
        <w:pStyle w:val="BodyText"/>
      </w:pPr>
      <w:r>
        <w:t xml:space="preserve">3. Detailed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Description of Service</w:t>
            </w:r>
          </w:p>
        </w:tc>
        <w:tc>
          <w:tcPr/>
          <w:p>
            <w:pPr>
              <w:pStyle w:val="Compact"/>
              <w:jc w:val="left"/>
            </w:pPr>
            <w:r>
              <w:t xml:space="preserve">Unit</w:t>
            </w:r>
          </w:p>
        </w:tc>
        <w:tc>
          <w:tcPr/>
          <w:p>
            <w:pPr>
              <w:pStyle w:val="Compact"/>
              <w:jc w:val="left"/>
            </w:pPr>
            <w:r>
              <w:t xml:space="preserve">Qty</w:t>
            </w:r>
          </w:p>
        </w:tc>
        <w:tc>
          <w:tcPr/>
          <w:p>
            <w:pPr>
              <w:pStyle w:val="Compact"/>
              <w:jc w:val="left"/>
            </w:pPr>
            <w:r>
              <w:t xml:space="preserve">Unit Price (TRY)</w:t>
            </w:r>
          </w:p>
        </w:tc>
        <w:tc>
          <w:tcPr/>
          <w:p>
            <w:pPr>
              <w:pStyle w:val="Compact"/>
              <w:jc w:val="left"/>
            </w:pPr>
            <w:r>
              <w:t xml:space="preserve">Total (TRY)</w:t>
            </w:r>
          </w:p>
        </w:tc>
      </w:tr>
      <w:tr>
        <w:tc>
          <w:tcPr/>
          <w:p>
            <w:pPr>
              <w:pStyle w:val="Compact"/>
              <w:jc w:val="left"/>
            </w:pPr>
            <w:r>
              <w:t xml:space="preserve">1</w:t>
            </w:r>
          </w:p>
        </w:tc>
        <w:tc>
          <w:tcPr/>
          <w:p>
            <w:pPr>
              <w:pStyle w:val="Compact"/>
              <w:jc w:val="left"/>
            </w:pPr>
            <w:r>
              <w:t xml:space="preserve">Monthly on-site Biomedical Engineer consultancy (preventive maintenance planning, device risk assessment, regulatory compliance audits)</w:t>
            </w:r>
          </w:p>
        </w:tc>
        <w:tc>
          <w:tcPr/>
          <w:p>
            <w:pPr>
              <w:pStyle w:val="Compact"/>
              <w:jc w:val="left"/>
            </w:pPr>
            <w:r>
              <w:t xml:space="preserve">Month</w:t>
            </w:r>
          </w:p>
        </w:tc>
        <w:tc>
          <w:tcPr/>
          <w:p>
            <w:pPr>
              <w:pStyle w:val="Compact"/>
              <w:jc w:val="left"/>
            </w:pPr>
            <w:r>
              <w:t xml:space="preserve">12</w:t>
            </w:r>
          </w:p>
        </w:tc>
        <w:tc>
          <w:tcPr/>
          <w:p>
            <w:pPr>
              <w:pStyle w:val="Compact"/>
              <w:jc w:val="left"/>
            </w:pPr>
            <w:r>
              <w:t xml:space="preserve">45,000.00</w:t>
            </w:r>
          </w:p>
        </w:tc>
        <w:tc>
          <w:tcPr/>
          <w:p>
            <w:pPr>
              <w:pStyle w:val="Compact"/>
              <w:jc w:val="left"/>
            </w:pPr>
            <w:r>
              <w:t xml:space="preserve">540,000.00</w:t>
            </w:r>
          </w:p>
        </w:tc>
      </w:tr>
      <w:tr>
        <w:tc>
          <w:tcPr/>
          <w:p>
            <w:pPr>
              <w:pStyle w:val="Compact"/>
              <w:jc w:val="left"/>
            </w:pPr>
            <w:r>
              <w:t xml:space="preserve">2</w:t>
            </w:r>
          </w:p>
        </w:tc>
        <w:tc>
          <w:tcPr/>
          <w:p>
            <w:pPr>
              <w:pStyle w:val="Compact"/>
              <w:jc w:val="left"/>
            </w:pPr>
            <w:r>
              <w:t xml:space="preserve">Calibration and verification of diagnostic imaging equipment (MRI, CT, X-ray, Ultrasound) – quarterly cycle</w:t>
            </w:r>
          </w:p>
        </w:tc>
        <w:tc>
          <w:tcPr/>
          <w:p>
            <w:pPr>
              <w:pStyle w:val="Compact"/>
              <w:jc w:val="left"/>
            </w:pPr>
            <w:r>
              <w:t xml:space="preserve">Visit</w:t>
            </w:r>
          </w:p>
        </w:tc>
        <w:tc>
          <w:tcPr/>
          <w:p>
            <w:pPr>
              <w:pStyle w:val="Compact"/>
              <w:jc w:val="left"/>
            </w:pPr>
            <w:r>
              <w:t xml:space="preserve">48</w:t>
            </w:r>
          </w:p>
        </w:tc>
        <w:tc>
          <w:tcPr/>
          <w:p>
            <w:pPr>
              <w:pStyle w:val="Compact"/>
              <w:jc w:val="left"/>
            </w:pPr>
            <w:r>
              <w:t xml:space="preserve">12,500.00</w:t>
            </w:r>
          </w:p>
        </w:tc>
        <w:tc>
          <w:tcPr/>
          <w:p>
            <w:pPr>
              <w:pStyle w:val="Compact"/>
              <w:jc w:val="left"/>
            </w:pPr>
            <w:r>
              <w:t xml:space="preserve">600,000.00</w:t>
            </w:r>
          </w:p>
        </w:tc>
      </w:tr>
      <w:tr>
        <w:tc>
          <w:tcPr/>
          <w:p>
            <w:pPr>
              <w:pStyle w:val="Compact"/>
              <w:jc w:val="left"/>
            </w:pPr>
            <w:r>
              <w:t xml:space="preserve">3</w:t>
            </w:r>
          </w:p>
        </w:tc>
        <w:tc>
          <w:tcPr/>
          <w:p>
            <w:pPr>
              <w:pStyle w:val="Compact"/>
              <w:jc w:val="left"/>
            </w:pPr>
            <w:r>
              <w:t xml:space="preserve">Biomedical Engineer-led installation and commissioning of new patient monitoring systems (ICU, OR, Emergency)</w:t>
            </w:r>
          </w:p>
        </w:tc>
        <w:tc>
          <w:tcPr/>
          <w:p>
            <w:pPr>
              <w:pStyle w:val="Compact"/>
              <w:jc w:val="left"/>
            </w:pPr>
            <w:r>
              <w:t xml:space="preserve">System</w:t>
            </w:r>
          </w:p>
        </w:tc>
        <w:tc>
          <w:tcPr/>
          <w:p>
            <w:pPr>
              <w:pStyle w:val="Compact"/>
              <w:jc w:val="left"/>
            </w:pPr>
            <w:r>
              <w:t xml:space="preserve">6</w:t>
            </w:r>
          </w:p>
        </w:tc>
        <w:tc>
          <w:tcPr/>
          <w:p>
            <w:pPr>
              <w:pStyle w:val="Compact"/>
              <w:jc w:val="left"/>
            </w:pPr>
            <w:r>
              <w:t xml:space="preserve">38,000.00</w:t>
            </w:r>
          </w:p>
        </w:tc>
        <w:tc>
          <w:tcPr/>
          <w:p>
            <w:pPr>
              <w:pStyle w:val="Compact"/>
              <w:jc w:val="left"/>
            </w:pPr>
            <w:r>
              <w:t xml:space="preserve">228,000.00</w:t>
            </w:r>
          </w:p>
        </w:tc>
      </w:tr>
      <w:tr>
        <w:tc>
          <w:tcPr/>
          <w:p>
            <w:pPr>
              <w:pStyle w:val="Compact"/>
              <w:jc w:val="left"/>
            </w:pPr>
            <w:r>
              <w:t xml:space="preserve">4</w:t>
            </w:r>
          </w:p>
        </w:tc>
        <w:tc>
          <w:tcPr/>
          <w:p>
            <w:pPr>
              <w:pStyle w:val="Compact"/>
              <w:jc w:val="left"/>
            </w:pPr>
            <w:r>
              <w:t xml:space="preserve">Emergency call-out and fault diagnosis service (24/7 availability within Turkey Ankara service zone)</w:t>
            </w:r>
          </w:p>
        </w:tc>
        <w:tc>
          <w:tcPr/>
          <w:p>
            <w:pPr>
              <w:pStyle w:val="Compact"/>
              <w:jc w:val="left"/>
            </w:pPr>
            <w:r>
              <w:t xml:space="preserve">Call</w:t>
            </w:r>
          </w:p>
        </w:tc>
        <w:tc>
          <w:tcPr/>
          <w:p>
            <w:pPr>
              <w:pStyle w:val="Compact"/>
              <w:jc w:val="left"/>
            </w:pPr>
            <w:r>
              <w:t xml:space="preserve">24</w:t>
            </w:r>
          </w:p>
        </w:tc>
        <w:tc>
          <w:tcPr/>
          <w:p>
            <w:pPr>
              <w:pStyle w:val="Compact"/>
              <w:jc w:val="left"/>
            </w:pPr>
            <w:r>
              <w:t xml:space="preserve">8,500.00</w:t>
            </w:r>
          </w:p>
        </w:tc>
        <w:tc>
          <w:tcPr/>
          <w:p>
            <w:pPr>
              <w:pStyle w:val="Compact"/>
              <w:jc w:val="left"/>
            </w:pPr>
            <w:r>
              <w:t xml:space="preserve">204,000.00</w:t>
            </w:r>
          </w:p>
        </w:tc>
      </w:tr>
      <w:tr>
        <w:tc>
          <w:tcPr/>
          <w:p>
            <w:pPr>
              <w:pStyle w:val="Compact"/>
              <w:jc w:val="left"/>
            </w:pPr>
            <w:r>
              <w:t xml:space="preserve">5</w:t>
            </w:r>
          </w:p>
        </w:tc>
        <w:tc>
          <w:tcPr/>
          <w:p>
            <w:pPr>
              <w:pStyle w:val="Compact"/>
              <w:jc w:val="left"/>
            </w:pPr>
            <w:r>
              <w:t xml:space="preserve">Regulatory documentation, CE/Turkish conformity assessment support, and annual safety inspection reports</w:t>
            </w:r>
          </w:p>
        </w:tc>
        <w:tc>
          <w:tcPr/>
          <w:p>
            <w:pPr>
              <w:pStyle w:val="Compact"/>
              <w:jc w:val="left"/>
            </w:pPr>
            <w:r>
              <w:t xml:space="preserve">Report</w:t>
            </w:r>
          </w:p>
        </w:tc>
        <w:tc>
          <w:tcPr/>
          <w:p>
            <w:pPr>
              <w:pStyle w:val="Compact"/>
              <w:jc w:val="left"/>
            </w:pPr>
            <w:r>
              <w:t xml:space="preserve">12</w:t>
            </w:r>
          </w:p>
        </w:tc>
        <w:tc>
          <w:tcPr/>
          <w:p>
            <w:pPr>
              <w:pStyle w:val="Compact"/>
              <w:jc w:val="left"/>
            </w:pPr>
            <w:r>
              <w:t xml:space="preserve">6,200.00</w:t>
            </w:r>
          </w:p>
        </w:tc>
        <w:tc>
          <w:tcPr/>
          <w:p>
            <w:pPr>
              <w:pStyle w:val="Compact"/>
              <w:jc w:val="left"/>
            </w:pPr>
            <w:r>
              <w:t xml:space="preserve">74,400.00</w:t>
            </w:r>
          </w:p>
        </w:tc>
      </w:tr>
      <w:tr>
        <w:tc>
          <w:tcPr/>
          <w:p>
            <w:pPr>
              <w:pStyle w:val="Compact"/>
              <w:jc w:val="left"/>
            </w:pPr>
            <w:r>
              <w:t xml:space="preserve">6</w:t>
            </w:r>
          </w:p>
        </w:tc>
        <w:tc>
          <w:tcPr/>
          <w:p>
            <w:pPr>
              <w:pStyle w:val="Compact"/>
              <w:jc w:val="left"/>
            </w:pPr>
            <w:r>
              <w:t xml:space="preserve">Training sessions for hospital technical staff on device operation, troubleshooting, and safety protocols</w:t>
            </w:r>
          </w:p>
        </w:tc>
        <w:tc>
          <w:tcPr/>
          <w:p>
            <w:pPr>
              <w:pStyle w:val="Compact"/>
              <w:jc w:val="left"/>
            </w:pPr>
            <w:r>
              <w:t xml:space="preserve">Session</w:t>
            </w:r>
          </w:p>
        </w:tc>
        <w:tc>
          <w:tcPr/>
          <w:p>
            <w:pPr>
              <w:pStyle w:val="Compact"/>
              <w:jc w:val="left"/>
            </w:pPr>
            <w:r>
              <w:t xml:space="preserve">16</w:t>
            </w:r>
          </w:p>
        </w:tc>
        <w:tc>
          <w:tcPr/>
          <w:p>
            <w:pPr>
              <w:pStyle w:val="Compact"/>
              <w:jc w:val="left"/>
            </w:pPr>
            <w:r>
              <w:t xml:space="preserve">9,800.00</w:t>
            </w:r>
          </w:p>
        </w:tc>
        <w:tc>
          <w:tcPr/>
          <w:p>
            <w:pPr>
              <w:pStyle w:val="Compact"/>
              <w:jc w:val="left"/>
            </w:pPr>
            <w:r>
              <w:t xml:space="preserve">156,800.00</w:t>
            </w:r>
          </w:p>
        </w:tc>
      </w:tr>
      <w:tr>
        <w:tc>
          <w:tcPr/>
          <w:p>
            <w:pPr>
              <w:pStyle w:val="Compact"/>
              <w:jc w:val="left"/>
            </w:pPr>
            <w:r>
              <w:t xml:space="preserve">7</w:t>
            </w:r>
          </w:p>
        </w:tc>
        <w:tc>
          <w:tcPr/>
          <w:p>
            <w:pPr>
              <w:pStyle w:val="Compact"/>
              <w:jc w:val="left"/>
            </w:pPr>
            <w:r>
              <w:t xml:space="preserve">Consumable parts, calibration standards, and specialized test equipment (amplifiers, phantoms, reference weights)</w:t>
            </w:r>
          </w:p>
        </w:tc>
        <w:tc>
          <w:tcPr/>
          <w:p>
            <w:pPr>
              <w:pStyle w:val="Compact"/>
              <w:jc w:val="left"/>
            </w:pPr>
            <w:r>
              <w:t xml:space="preserve">Lot</w:t>
            </w:r>
          </w:p>
        </w:tc>
        <w:tc>
          <w:tcPr/>
          <w:p>
            <w:pPr>
              <w:pStyle w:val="Compact"/>
              <w:jc w:val="left"/>
            </w:pPr>
            <w:r>
              <w:t xml:space="preserve">12</w:t>
            </w:r>
          </w:p>
        </w:tc>
        <w:tc>
          <w:tcPr/>
          <w:p>
            <w:pPr>
              <w:pStyle w:val="Compact"/>
              <w:jc w:val="left"/>
            </w:pPr>
            <w:r>
              <w:t xml:space="preserve">15,000.00</w:t>
            </w:r>
          </w:p>
        </w:tc>
        <w:tc>
          <w:tcPr/>
          <w:p>
            <w:pPr>
              <w:pStyle w:val="Compact"/>
              <w:jc w:val="left"/>
            </w:pPr>
            <w:r>
              <w:t xml:space="preserve">180,000.00</w:t>
            </w:r>
          </w:p>
        </w:tc>
      </w:tr>
      <w:tr>
        <w:tc>
          <w:tcPr/>
          <w:p>
            <w:pPr>
              <w:pStyle w:val="Compact"/>
              <w:jc w:val="left"/>
            </w:pPr>
            <w:r>
              <w:t xml:space="preserve">8</w:t>
            </w:r>
          </w:p>
        </w:tc>
        <w:tc>
          <w:tcPr/>
          <w:p>
            <w:pPr>
              <w:pStyle w:val="Compact"/>
              <w:jc w:val="left"/>
            </w:pPr>
            <w:r>
              <w:t xml:space="preserve">Travel and logistics within Turkey Ankara metropolitan area (vehicle, fuel, accommodation for satellite sites)</w:t>
            </w:r>
          </w:p>
        </w:tc>
        <w:tc>
          <w:tcPr/>
          <w:p>
            <w:pPr>
              <w:pStyle w:val="Compact"/>
              <w:jc w:val="left"/>
            </w:pPr>
            <w:r>
              <w:t xml:space="preserve">Month</w:t>
            </w:r>
          </w:p>
        </w:tc>
        <w:tc>
          <w:tcPr/>
          <w:p>
            <w:pPr>
              <w:pStyle w:val="Compact"/>
              <w:jc w:val="left"/>
            </w:pPr>
            <w:r>
              <w:t xml:space="preserve">12</w:t>
            </w:r>
          </w:p>
        </w:tc>
        <w:tc>
          <w:tcPr/>
          <w:p>
            <w:pPr>
              <w:pStyle w:val="Compact"/>
              <w:jc w:val="left"/>
            </w:pPr>
            <w:r>
              <w:t xml:space="preserve">7,500.00</w:t>
            </w:r>
          </w:p>
        </w:tc>
        <w:tc>
          <w:tcPr/>
          <w:p>
            <w:pPr>
              <w:pStyle w:val="Compact"/>
              <w:jc w:val="left"/>
            </w:pPr>
            <w:r>
              <w:t xml:space="preserve">90,000.00</w:t>
            </w:r>
          </w:p>
        </w:tc>
      </w:tr>
      <w:tr>
        <w:tc>
          <w:tcPr>
            <w:gridSpan w:val="5"/>
          </w:tcPr>
          <w:p>
            <w:pPr>
              <w:pStyle w:val="Compact"/>
              <w:jc w:val="right"/>
            </w:pPr>
            <w:r>
              <w:t xml:space="preserve">Subtotal (TRY)</w:t>
            </w:r>
          </w:p>
        </w:tc>
        <w:tc>
          <w:tcPr/>
          <w:p>
            <w:pPr>
              <w:pStyle w:val="Compact"/>
              <w:jc w:val="left"/>
            </w:pPr>
            <w:r>
              <w:t xml:space="preserve">2,073,200.00</w:t>
            </w:r>
          </w:p>
        </w:tc>
      </w:tr>
      <w:tr>
        <w:tc>
          <w:tcPr>
            <w:gridSpan w:val="5"/>
          </w:tcPr>
          <w:p>
            <w:pPr>
              <w:pStyle w:val="Compact"/>
              <w:jc w:val="right"/>
            </w:pPr>
            <w:r>
              <w:t xml:space="preserve">VAT (KDV) – 20%</w:t>
            </w:r>
          </w:p>
        </w:tc>
        <w:tc>
          <w:tcPr/>
          <w:p>
            <w:pPr>
              <w:pStyle w:val="Compact"/>
              <w:jc w:val="left"/>
            </w:pPr>
            <w:r>
              <w:t xml:space="preserve">414,640.00</w:t>
            </w:r>
          </w:p>
        </w:tc>
      </w:tr>
      <w:tr>
        <w:tc>
          <w:tcPr>
            <w:gridSpan w:val="5"/>
          </w:tcPr>
          <w:p>
            <w:pPr>
              <w:pStyle w:val="Compact"/>
              <w:jc w:val="right"/>
            </w:pPr>
            <w:r>
              <w:t xml:space="preserve">GRAND TOTAL (TRY)</w:t>
            </w:r>
          </w:p>
        </w:tc>
        <w:tc>
          <w:tcPr/>
          <w:p>
            <w:pPr>
              <w:pStyle w:val="Compact"/>
              <w:jc w:val="left"/>
            </w:pPr>
            <w:r>
              <w:t xml:space="preserve">2,487,840.00</w:t>
            </w:r>
          </w:p>
        </w:tc>
      </w:tr>
    </w:tbl>
    <w:p>
      <w:pPr>
        <w:pStyle w:val="BodyText"/>
      </w:pPr>
      <w:r>
        <w:t xml:space="preserve">4. Terms and Conditions of This Quotation Estimate</w:t>
      </w:r>
    </w:p>
    <w:p>
      <w:pPr>
        <w:numPr>
          <w:ilvl w:val="0"/>
          <w:numId w:val="1001"/>
        </w:numPr>
        <w:pStyle w:val="Compact"/>
      </w:pPr>
      <w:r>
        <w:rPr>
          <w:bCs/>
          <w:b/>
        </w:rPr>
        <w:t xml:space="preserve">Validity:</w:t>
      </w:r>
      <w:r>
        <w:t xml:space="preserve"> </w:t>
      </w:r>
      <w:r>
        <w:t xml:space="preserve">This Quotation Estimate is valid for thirty (30) calendar days from the date of issue. After the expiry date, pricing may be revised to reflect current market conditions in Turkey Ankara for specialized biomedical engineering services.</w:t>
      </w:r>
    </w:p>
    <w:p>
      <w:pPr>
        <w:numPr>
          <w:ilvl w:val="0"/>
          <w:numId w:val="1001"/>
        </w:numPr>
        <w:pStyle w:val="Compact"/>
      </w:pPr>
      <w:r>
        <w:rPr>
          <w:bCs/>
          <w:b/>
        </w:rPr>
        <w:t xml:space="preserve">Payment Terms:</w:t>
      </w:r>
      <w:r>
        <w:t xml:space="preserve"> </w:t>
      </w:r>
      <w:r>
        <w:t xml:space="preserve">Payment shall be made in quarterly installments (25% per quarter) via bank transfer to the account specified by MedTech Solutions Ankara Ltd. A 1.5% monthly late-payment interest shall apply to overdue invoices in accordance with Turkish commercial law (Türk Ticaret Kanunu).</w:t>
      </w:r>
    </w:p>
    <w:p>
      <w:pPr>
        <w:numPr>
          <w:ilvl w:val="0"/>
          <w:numId w:val="1001"/>
        </w:numPr>
        <w:pStyle w:val="Compact"/>
      </w:pPr>
      <w:r>
        <w:rPr>
          <w:bCs/>
          <w:b/>
        </w:rPr>
        <w:t xml:space="preserve">Commencement:</w:t>
      </w:r>
      <w:r>
        <w:t xml:space="preserve"> </w:t>
      </w:r>
      <w:r>
        <w:t xml:space="preserve">Services shall commence within fifteen (15) business days of mutual signature of the service agreement and receipt of the initial 25% advance payment.</w:t>
      </w:r>
    </w:p>
    <w:p>
      <w:pPr>
        <w:numPr>
          <w:ilvl w:val="0"/>
          <w:numId w:val="1001"/>
        </w:numPr>
        <w:pStyle w:val="Compact"/>
      </w:pPr>
      <w:r>
        <w:rPr>
          <w:bCs/>
          <w:b/>
        </w:rPr>
        <w:t xml:space="preserve">Biomedical Engineer Availability:</w:t>
      </w:r>
      <w:r>
        <w:t xml:space="preserve"> </w:t>
      </w:r>
      <w:r>
        <w:t xml:space="preserve">The assigned Biomedical Engineer shall be available on-site a minimum of five (5) days per week during standard business hours (08:00–17:00, Monday to Friday) and on a 24/7 on-call basis for critical equipment failures.</w:t>
      </w:r>
    </w:p>
    <w:p>
      <w:pPr>
        <w:numPr>
          <w:ilvl w:val="0"/>
          <w:numId w:val="1001"/>
        </w:numPr>
        <w:pStyle w:val="Compact"/>
      </w:pPr>
      <w:r>
        <w:rPr>
          <w:bCs/>
          <w:b/>
        </w:rPr>
        <w:t xml:space="preserve">Confidentiality:</w:t>
      </w:r>
      <w:r>
        <w:t xml:space="preserve"> </w:t>
      </w:r>
      <w:r>
        <w:t xml:space="preserve">All patient data, hospital operational information, and proprietary technical documentation encountered during the engagement in Turkey Ankara shall be treated as strictly confidential and protected under the Turkish Personal Data Protection Law (KVKK – 6698).</w:t>
      </w:r>
    </w:p>
    <w:p>
      <w:pPr>
        <w:numPr>
          <w:ilvl w:val="0"/>
          <w:numId w:val="1001"/>
        </w:numPr>
        <w:pStyle w:val="Compact"/>
      </w:pPr>
      <w:r>
        <w:rPr>
          <w:bCs/>
          <w:b/>
        </w:rPr>
        <w:t xml:space="preserve">Warranty:</w:t>
      </w:r>
      <w:r>
        <w:t xml:space="preserve"> </w:t>
      </w:r>
      <w:r>
        <w:t xml:space="preserve">All calibration and repair work performed by the Biomedical Engineer carries a ninety (90) day workmanship warranty. Replacement parts carry the manufacturer's standard warranty period.</w:t>
      </w:r>
    </w:p>
    <w:p>
      <w:pPr>
        <w:numPr>
          <w:ilvl w:val="0"/>
          <w:numId w:val="1001"/>
        </w:numPr>
        <w:pStyle w:val="Compact"/>
      </w:pPr>
      <w:r>
        <w:rPr>
          <w:bCs/>
          <w:b/>
        </w:rPr>
        <w:t xml:space="preserve">Termination:</w:t>
      </w:r>
      <w:r>
        <w:t xml:space="preserve"> </w:t>
      </w:r>
      <w:r>
        <w:t xml:space="preserve">Either party may terminate the agreement with sixty (60) days written notice. In the event of early termination, the client shall be liable for all services rendered up to the termination date plus a 10% administrative fee.</w:t>
      </w:r>
    </w:p>
    <w:p>
      <w:pPr>
        <w:numPr>
          <w:ilvl w:val="0"/>
          <w:numId w:val="1001"/>
        </w:numPr>
        <w:pStyle w:val="Compact"/>
      </w:pPr>
      <w:r>
        <w:rPr>
          <w:bCs/>
          <w:b/>
        </w:rPr>
        <w:t xml:space="preserve">Governing Law:</w:t>
      </w:r>
      <w:r>
        <w:t xml:space="preserve"> </w:t>
      </w:r>
      <w:r>
        <w:t xml:space="preserve">This Quotation Estimate and any resulting contract shall be governed by the laws of the Republic of Turkey. Disputes shall be resolved by the competent courts in Ankara, Turkey.</w:t>
      </w:r>
    </w:p>
    <w:p>
      <w:pPr>
        <w:pStyle w:val="FirstParagraph"/>
      </w:pPr>
      <w:r>
        <w:t xml:space="preserve">5. Acceptance and Authorization</w:t>
      </w:r>
    </w:p>
    <w:p>
      <w:pPr>
        <w:pStyle w:val="BodyText"/>
      </w:pPr>
      <w:r>
        <w:t xml:space="preserve">By signing below, both parties acknowledge that this Quotation Estimate accurately represents the agreed-upon scope, pricing, and terms for the Biomedical Engineer services to be delivered in Turkey Ankara. This document constitutes a binding commercial offer subject to the conditions stated herein.</w:t>
      </w:r>
    </w:p>
    <w:p>
      <w:pPr>
        <w:pStyle w:val="BodyText"/>
      </w:pPr>
      <w:r>
        <w:rPr>
          <w:bCs/>
          <w:b/>
        </w:rPr>
        <w:t xml:space="preserve">For MedTech Solutions Ankara Ltd. (Provider)</w:t>
      </w:r>
      <w:r>
        <w:br/>
      </w:r>
      <w:r>
        <w:t xml:space="preserve">Name: _________________________</w:t>
      </w:r>
      <w:r>
        <w:br/>
      </w:r>
      <w:r>
        <w:t xml:space="preserve">Title: General Manager</w:t>
      </w:r>
      <w:r>
        <w:br/>
      </w:r>
      <w:r>
        <w:t xml:space="preserve">Signature &amp; Stamp: _________________________</w:t>
      </w:r>
      <w:r>
        <w:br/>
      </w:r>
      <w:r>
        <w:t xml:space="preserve">Date: _________________________</w:t>
      </w:r>
    </w:p>
    <w:p>
      <w:pPr>
        <w:pStyle w:val="BodyText"/>
      </w:pPr>
      <w:r>
        <w:rPr>
          <w:bCs/>
          <w:b/>
        </w:rPr>
        <w:t xml:space="preserve">For Ankara University Medical Faculty Hospital (Client)</w:t>
      </w:r>
      <w:r>
        <w:br/>
      </w:r>
      <w:r>
        <w:t xml:space="preserve">Name: _________________________</w:t>
      </w:r>
      <w:r>
        <w:br/>
      </w:r>
      <w:r>
        <w:t xml:space="preserve">Title: Head of Biomedical Engineering</w:t>
      </w:r>
      <w:r>
        <w:br/>
      </w:r>
      <w:r>
        <w:t xml:space="preserve">Signature &amp; Stamp: _________________________</w:t>
      </w:r>
      <w:r>
        <w:br/>
      </w:r>
      <w:r>
        <w:t xml:space="preserve">Date: _________________________</w:t>
      </w:r>
    </w:p>
    <w:p>
      <w:pPr>
        <w:pStyle w:val="BodyText"/>
      </w:pPr>
      <w:r>
        <w:rPr>
          <w:bCs/>
          <w:b/>
        </w:rPr>
        <w:t xml:space="preserve">Note:</w:t>
      </w:r>
      <w:r>
        <w:t xml:space="preserve"> </w:t>
      </w:r>
      <w:r>
        <w:t xml:space="preserve">This Quotation Estimate is prepared exclusively for the client named above and may not be transferred or used for any other purpose without prior written consent from MedTech Solutions Ankara Ltd. All prices are quoted in Turkish Lira (TRY) and are subject to revision in the event of significant currency fluctuation or changes in applicable Turkish taxation regulations. The Biomedical Engineer services described herein are tailored specifically for the operational requirements of medical facilities located in Turkey Ankara and may not be directly applicable to other regions without a revised scope assessment.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Biomedical Engineer Services - Turkey Ankara</dc:title>
  <dc:creator/>
  <dc:language>en</dc:language>
  <cp:keywords/>
  <dcterms:created xsi:type="dcterms:W3CDTF">2026-10-10T05:03:12Z</dcterms:created>
  <dcterms:modified xsi:type="dcterms:W3CDTF">2026-10-10T05:03:12Z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content-width, initial-scale=1.0</vt:lpwstr>
  </property>
</Properties>
</file>