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t xml:space="preserve">Professional Biomedical Engineering Services</w:t>
      </w:r>
    </w:p>
    <w:p>
      <w:pPr>
        <w:pStyle w:val="BodyText"/>
      </w:pPr>
      <w:r>
        <w:t xml:space="preserve">Prepared for clients operating within United Kingdom London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QTE-BME-LON-2025-0047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Dr. Eleanor Whitfield, CEng, MIEE – Lead Biomedical Engineer</w:t>
            </w:r>
          </w:p>
        </w:tc>
      </w:tr>
      <w:tr>
        <w:tc>
          <w:tcPr/>
          <w:p>
            <w:pPr>
              <w:pStyle w:val="Compact"/>
              <w:jc w:val="left"/>
            </w:pPr>
            <w:r>
              <w:t xml:space="preserve">Company:</w:t>
            </w:r>
          </w:p>
        </w:tc>
        <w:tc>
          <w:tcPr/>
          <w:p>
            <w:pPr>
              <w:pStyle w:val="Compact"/>
              <w:jc w:val="left"/>
            </w:pPr>
            <w:r>
              <w:t xml:space="preserve">Meridian Biomedical Solutions Ltd, 42 Aldwych, London WC2B 4BJ, United Kingdom</w:t>
            </w:r>
          </w:p>
        </w:tc>
      </w:tr>
      <w:tr>
        <w:tc>
          <w:tcPr/>
          <w:p>
            <w:pPr>
              <w:pStyle w:val="Compact"/>
              <w:jc w:val="left"/>
            </w:pPr>
            <w:r>
              <w:t xml:space="preserve">Client:</w:t>
            </w:r>
          </w:p>
        </w:tc>
        <w:tc>
          <w:tcPr/>
          <w:p>
            <w:pPr>
              <w:pStyle w:val="Compact"/>
              <w:jc w:val="left"/>
            </w:pPr>
            <w:r>
              <w:t xml:space="preserve">[Client Name / NHS Trust / Private Healthcare Provider], United Kingdom London</w:t>
            </w:r>
          </w:p>
        </w:tc>
      </w:tr>
      <w:tr>
        <w:tc>
          <w:tcPr/>
          <w:p>
            <w:pPr>
              <w:pStyle w:val="Compact"/>
              <w:jc w:val="left"/>
            </w:pPr>
            <w:r>
              <w:t xml:space="preserve">Contact:</w:t>
            </w:r>
          </w:p>
        </w:tc>
        <w:tc>
          <w:tcPr/>
          <w:p>
            <w:pPr>
              <w:pStyle w:val="Compact"/>
              <w:jc w:val="left"/>
            </w:pPr>
            <w:r>
              <w:t xml:space="preserve">enquiries@meridianbiomedical.co.uk | +44 (0)20 7946 0821</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has been prepared to provide a comprehensive and transparent financial overview of the professional services to be delivered by our team of qualified</w:t>
      </w:r>
      <w:r>
        <w:t xml:space="preserve"> </w:t>
      </w:r>
      <w:r>
        <w:t xml:space="preserve">Biomedical Engineer</w:t>
      </w:r>
      <w:r>
        <w:t xml:space="preserve"> </w:t>
      </w:r>
      <w:r>
        <w:t xml:space="preserve">specialists. The scope of work outlined herein is specifically tailored to meet the regulatory, clinical, and operational requirements of healthcare facilities, research institutions, and medical device manufacturers operating within</w:t>
      </w:r>
      <w:r>
        <w:t xml:space="preserve"> </w:t>
      </w:r>
      <w:r>
        <w:t xml:space="preserve">United Kingdom London</w:t>
      </w:r>
      <w:r>
        <w:t xml:space="preserve">. All pricing is presented in British Pounds Sterling (GBP) and is inclusive of Value Added Tax (VAT) at the current standard rate of 20%, in accordance with HM Revenue &amp; Customs regulations applicable in the United Kingdom.</w:t>
      </w:r>
    </w:p>
    <w:bookmarkEnd w:id="21"/>
    <w:bookmarkStart w:id="26" w:name="scope-of-services"/>
    <w:p>
      <w:pPr>
        <w:pStyle w:val="Heading2"/>
      </w:pPr>
      <w:r>
        <w:t xml:space="preserve">2. Scope of Services</w:t>
      </w:r>
    </w:p>
    <w:p>
      <w:pPr>
        <w:pStyle w:val="FirstParagraph"/>
      </w:pPr>
      <w:r>
        <w:t xml:space="preserve">The following services constitute the full scope of this</w:t>
      </w:r>
      <w:r>
        <w:t xml:space="preserve"> </w:t>
      </w:r>
      <w:r>
        <w:t xml:space="preserve">Quotation Estimate</w:t>
      </w:r>
      <w:r>
        <w:t xml:space="preserve">. Each item reflects the expertise of a chartered</w:t>
      </w:r>
      <w:r>
        <w:t xml:space="preserve"> </w:t>
      </w:r>
      <w:r>
        <w:t xml:space="preserve">Biomedical Engineer</w:t>
      </w:r>
      <w:r>
        <w:t xml:space="preserve"> </w:t>
      </w:r>
      <w:r>
        <w:t xml:space="preserve">and is designed to comply with the UK Medical Devices Regulations 2002 (as amended), the NHS Estates and Facilities Standards, and the relevant British Standards (BS EN) applicable in</w:t>
      </w:r>
      <w:r>
        <w:t xml:space="preserve"> </w:t>
      </w:r>
      <w:r>
        <w:t xml:space="preserve">United Kingdom London</w:t>
      </w:r>
      <w:r>
        <w:t xml:space="preserve">.</w:t>
      </w:r>
    </w:p>
    <w:bookmarkStart w:id="22" w:name="Xc9dcb1948b4643032be1ea0ac18e2b11aefee4a"/>
    <w:p>
      <w:pPr>
        <w:pStyle w:val="Heading3"/>
      </w:pPr>
      <w:r>
        <w:t xml:space="preserve">2.1 Clinical Engineering &amp; Equipment Management</w:t>
      </w:r>
    </w:p>
    <w:p>
      <w:pPr>
        <w:numPr>
          <w:ilvl w:val="0"/>
          <w:numId w:val="1001"/>
        </w:numPr>
        <w:pStyle w:val="Compact"/>
      </w:pPr>
      <w:r>
        <w:t xml:space="preserve">Preventive maintenance and calibration of diagnostic imaging systems (MRI, CT, X-ray, Ultrasound) in compliance with IEC 62353 and BS EN 62353.</w:t>
      </w:r>
    </w:p>
    <w:p>
      <w:pPr>
        <w:numPr>
          <w:ilvl w:val="0"/>
          <w:numId w:val="1001"/>
        </w:numPr>
        <w:pStyle w:val="Compact"/>
      </w:pPr>
      <w:r>
        <w:t xml:space="preserve">Corrective maintenance and fault diagnosis for life-support equipment including ventilators, infusion pumps, and defibrillators.</w:t>
      </w:r>
    </w:p>
    <w:p>
      <w:pPr>
        <w:numPr>
          <w:ilvl w:val="0"/>
          <w:numId w:val="1001"/>
        </w:numPr>
        <w:pStyle w:val="Compact"/>
      </w:pPr>
      <w:r>
        <w:t xml:space="preserve">Installation, commissioning, and acceptance testing of new biomedical equipment in hospital wards, operating theatres, and intensive care units.</w:t>
      </w:r>
    </w:p>
    <w:p>
      <w:pPr>
        <w:numPr>
          <w:ilvl w:val="0"/>
          <w:numId w:val="1001"/>
        </w:numPr>
        <w:pStyle w:val="Compact"/>
      </w:pPr>
      <w:r>
        <w:t xml:space="preserve">Asset register management and lifecycle cost analysis for medical device fleets.</w:t>
      </w:r>
    </w:p>
    <w:bookmarkEnd w:id="22"/>
    <w:bookmarkStart w:id="23" w:name="regulatory-compliance-risk-assessment"/>
    <w:p>
      <w:pPr>
        <w:pStyle w:val="Heading3"/>
      </w:pPr>
      <w:r>
        <w:t xml:space="preserve">2.2 Regulatory Compliance &amp; Risk Assessment</w:t>
      </w:r>
    </w:p>
    <w:p>
      <w:pPr>
        <w:numPr>
          <w:ilvl w:val="0"/>
          <w:numId w:val="1002"/>
        </w:numPr>
        <w:pStyle w:val="Compact"/>
      </w:pPr>
      <w:r>
        <w:t xml:space="preserve">Preparation of risk assessment documentation in line with IEC 62366 (Usability Engineering) and IEC 60601 series standards.</w:t>
      </w:r>
    </w:p>
    <w:p>
      <w:pPr>
        <w:numPr>
          <w:ilvl w:val="0"/>
          <w:numId w:val="1002"/>
        </w:numPr>
        <w:pStyle w:val="Compact"/>
      </w:pPr>
      <w:r>
        <w:t xml:space="preserve">Electrical safety testing and reporting in accordance with BS 7909 and the Electricity at Work Regulations 1989.</w:t>
      </w:r>
    </w:p>
    <w:p>
      <w:pPr>
        <w:numPr>
          <w:ilvl w:val="0"/>
          <w:numId w:val="1002"/>
        </w:numPr>
        <w:pStyle w:val="Compact"/>
      </w:pPr>
      <w:r>
        <w:t xml:space="preserve">Electromagnetic compatibility (EMC) testing and reporting per BS EN 55011 and BS EN 61326-1.</w:t>
      </w:r>
    </w:p>
    <w:p>
      <w:pPr>
        <w:numPr>
          <w:ilvl w:val="0"/>
          <w:numId w:val="1002"/>
        </w:numPr>
        <w:pStyle w:val="Compact"/>
      </w:pPr>
      <w:r>
        <w:t xml:space="preserve">Support with MHRA (Medicines and Healthcare products Regulatory Agency) submissions for novel device deployments in London-based clinical settings.</w:t>
      </w:r>
    </w:p>
    <w:bookmarkEnd w:id="23"/>
    <w:bookmarkStart w:id="24" w:name="research-development-support"/>
    <w:p>
      <w:pPr>
        <w:pStyle w:val="Heading3"/>
      </w:pPr>
      <w:r>
        <w:t xml:space="preserve">2.3 Research &amp; Development Support</w:t>
      </w:r>
    </w:p>
    <w:p>
      <w:pPr>
        <w:numPr>
          <w:ilvl w:val="0"/>
          <w:numId w:val="1003"/>
        </w:numPr>
        <w:pStyle w:val="Compact"/>
      </w:pPr>
      <w:r>
        <w:t xml:space="preserve">Design and prototyping of custom biomedical instrumentation for academic and industrial research projects.</w:t>
      </w:r>
    </w:p>
    <w:p>
      <w:pPr>
        <w:numPr>
          <w:ilvl w:val="0"/>
          <w:numId w:val="1003"/>
        </w:numPr>
        <w:pStyle w:val="Compact"/>
      </w:pPr>
      <w:r>
        <w:t xml:space="preserve">Signal acquisition, processing, and analysis for electrophysiological studies (EEG, ECG, EMG).</w:t>
      </w:r>
    </w:p>
    <w:p>
      <w:pPr>
        <w:numPr>
          <w:ilvl w:val="0"/>
          <w:numId w:val="1003"/>
        </w:numPr>
        <w:pStyle w:val="Compact"/>
      </w:pPr>
      <w:r>
        <w:t xml:space="preserve">Biocompatibility testing coordination and interpretation of ISO 10993 results.</w:t>
      </w:r>
    </w:p>
    <w:p>
      <w:pPr>
        <w:numPr>
          <w:ilvl w:val="0"/>
          <w:numId w:val="1003"/>
        </w:numPr>
        <w:pStyle w:val="Compact"/>
      </w:pPr>
      <w:r>
        <w:t xml:space="preserve">Finite element analysis (FEA) and computational modelling for implant and prosthetic design validation.</w:t>
      </w:r>
    </w:p>
    <w:bookmarkEnd w:id="24"/>
    <w:bookmarkStart w:id="25" w:name="training-knowledge-transfer"/>
    <w:p>
      <w:pPr>
        <w:pStyle w:val="Heading3"/>
      </w:pPr>
      <w:r>
        <w:t xml:space="preserve">2.4 Training &amp; Knowledge Transfer</w:t>
      </w:r>
    </w:p>
    <w:p>
      <w:pPr>
        <w:numPr>
          <w:ilvl w:val="0"/>
          <w:numId w:val="1004"/>
        </w:numPr>
        <w:pStyle w:val="Compact"/>
      </w:pPr>
      <w:r>
        <w:t xml:space="preserve">On-site training for clinical and technical staff on safe operation and basic troubleshooting of biomedical equipment.</w:t>
      </w:r>
    </w:p>
    <w:p>
      <w:pPr>
        <w:numPr>
          <w:ilvl w:val="0"/>
          <w:numId w:val="1004"/>
        </w:numPr>
        <w:pStyle w:val="Compact"/>
      </w:pPr>
      <w:r>
        <w:t xml:space="preserve">Workshops on UK regulatory requirements for medical device management, delivered in London-based venues.</w:t>
      </w:r>
    </w:p>
    <w:p>
      <w:pPr>
        <w:numPr>
          <w:ilvl w:val="0"/>
          <w:numId w:val="1004"/>
        </w:numPr>
        <w:pStyle w:val="Compact"/>
      </w:pPr>
      <w:r>
        <w:t xml:space="preserve">Preparation of standard operating procedures (SOPs) and user documentation.</w:t>
      </w:r>
    </w:p>
    <w:bookmarkEnd w:id="25"/>
    <w:bookmarkEnd w:id="26"/>
    <w:bookmarkStart w:id="27" w:name="financial-breakdown"/>
    <w:p>
      <w:pPr>
        <w:pStyle w:val="Heading2"/>
      </w:pPr>
      <w:r>
        <w:t xml:space="preserve">3. Financial Breakdown</w:t>
      </w:r>
    </w:p>
    <w:p>
      <w:pPr>
        <w:pStyle w:val="FirstParagraph"/>
      </w:pPr>
      <w:r>
        <w:t xml:space="preserve">The table below presents the itemised costs forming this</w:t>
      </w:r>
      <w:r>
        <w:t xml:space="preserve"> </w:t>
      </w:r>
      <w:r>
        <w:t xml:space="preserve">Quotation Estimate</w:t>
      </w:r>
      <w:r>
        <w:t xml:space="preserve">. All rates reflect the current market positioning for a senior</w:t>
      </w:r>
      <w:r>
        <w:t xml:space="preserve"> </w:t>
      </w:r>
      <w:r>
        <w:t xml:space="preserve">Biomedical Engineer</w:t>
      </w:r>
      <w:r>
        <w:t xml:space="preserve"> </w:t>
      </w:r>
      <w:r>
        <w:t xml:space="preserve">operating in the</w:t>
      </w:r>
      <w:r>
        <w:t xml:space="preserve"> </w:t>
      </w:r>
      <w:r>
        <w:t xml:space="preserve">United Kingdom London</w:t>
      </w:r>
      <w:r>
        <w:t xml:space="preserve"> </w:t>
      </w:r>
      <w:r>
        <w:t xml:space="preserve">region, where demand for specialised clinical engineering expertise remains consistently high due to the concentration of NHS trusts, private hospitals, and pharmaceutical research centres.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(GBP)</w:t>
            </w:r>
          </w:p>
        </w:tc>
        <w:tc>
          <w:tcPr/>
          <w:p>
            <w:pPr>
              <w:pStyle w:val="Compact"/>
              <w:jc w:val="left"/>
            </w:pPr>
            <w:r>
              <w:t xml:space="preserve">Subtotal (GBP)</w:t>
            </w:r>
          </w:p>
        </w:tc>
      </w:tr>
      <w:tr>
        <w:tc>
          <w:tcPr/>
          <w:p>
            <w:pPr>
              <w:pStyle w:val="Compact"/>
              <w:jc w:val="left"/>
            </w:pPr>
            <w:r>
              <w:t xml:space="preserve">01</w:t>
            </w:r>
          </w:p>
        </w:tc>
        <w:tc>
          <w:tcPr/>
          <w:p>
            <w:pPr>
              <w:pStyle w:val="Compact"/>
              <w:jc w:val="left"/>
            </w:pPr>
            <w:r>
              <w:t xml:space="preserve">Preventive maintenance programme – diagnostic imaging suite (annual contract)</w:t>
            </w:r>
          </w:p>
        </w:tc>
        <w:tc>
          <w:tcPr/>
          <w:p>
            <w:pPr>
              <w:pStyle w:val="Compact"/>
              <w:jc w:val="left"/>
            </w:pPr>
            <w:r>
              <w:t xml:space="preserve">Year</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Corrective maintenance – life-support equipment (on-call, 24/7)</w:t>
            </w:r>
          </w:p>
        </w:tc>
        <w:tc>
          <w:tcPr/>
          <w:p>
            <w:pPr>
              <w:pStyle w:val="Compact"/>
              <w:jc w:val="left"/>
            </w:pPr>
            <w:r>
              <w:t xml:space="preserve">Hour</w:t>
            </w:r>
          </w:p>
        </w:tc>
        <w:tc>
          <w:tcPr/>
          <w:p>
            <w:pPr>
              <w:pStyle w:val="Compact"/>
              <w:jc w:val="left"/>
            </w:pPr>
            <w:r>
              <w:t xml:space="preserve">120</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03</w:t>
            </w:r>
          </w:p>
        </w:tc>
        <w:tc>
          <w:tcPr/>
          <w:p>
            <w:pPr>
              <w:pStyle w:val="Compact"/>
              <w:jc w:val="left"/>
            </w:pPr>
            <w:r>
              <w:t xml:space="preserve">Installation &amp; commissioning – new CT scanner (including acceptance testing)</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Electrical safety &amp; EMC testing – full ward audit (up to 200 devices)</w:t>
            </w:r>
          </w:p>
        </w:tc>
        <w:tc>
          <w:tcPr/>
          <w:p>
            <w:pPr>
              <w:pStyle w:val="Compact"/>
              <w:jc w:val="left"/>
            </w:pPr>
            <w:r>
              <w:t xml:space="preserve">Visit</w:t>
            </w:r>
          </w:p>
        </w:tc>
        <w:tc>
          <w:tcPr/>
          <w:p>
            <w:pPr>
              <w:pStyle w:val="Compact"/>
              <w:jc w:val="left"/>
            </w:pPr>
            <w:r>
              <w:t xml:space="preserve">4</w:t>
            </w:r>
          </w:p>
        </w:tc>
        <w:tc>
          <w:tcPr/>
          <w:p>
            <w:pPr>
              <w:pStyle w:val="Compact"/>
              <w:jc w:val="left"/>
            </w:pPr>
            <w:r>
              <w:t xml:space="preserve">2,850.00</w:t>
            </w:r>
          </w:p>
        </w:tc>
        <w:tc>
          <w:tcPr/>
          <w:p>
            <w:pPr>
              <w:pStyle w:val="Compact"/>
              <w:jc w:val="left"/>
            </w:pPr>
            <w:r>
              <w:t xml:space="preserve">11,400.00</w:t>
            </w:r>
          </w:p>
        </w:tc>
      </w:tr>
      <w:tr>
        <w:tc>
          <w:tcPr/>
          <w:p>
            <w:pPr>
              <w:pStyle w:val="Compact"/>
              <w:jc w:val="left"/>
            </w:pPr>
            <w:r>
              <w:t xml:space="preserve">05</w:t>
            </w:r>
          </w:p>
        </w:tc>
        <w:tc>
          <w:tcPr/>
          <w:p>
            <w:pPr>
              <w:pStyle w:val="Compact"/>
              <w:jc w:val="left"/>
            </w:pPr>
            <w:r>
              <w:t xml:space="preserve">Risk assessment &amp; regulatory documentation package</w:t>
            </w:r>
          </w:p>
        </w:tc>
        <w:tc>
          <w:tcPr/>
          <w:p>
            <w:pPr>
              <w:pStyle w:val="Compact"/>
              <w:jc w:val="left"/>
            </w:pPr>
            <w:r>
              <w:t xml:space="preserve">Report</w:t>
            </w:r>
          </w:p>
        </w:tc>
        <w:tc>
          <w:tcPr/>
          <w:p>
            <w:pPr>
              <w:pStyle w:val="Compact"/>
              <w:jc w:val="left"/>
            </w:pPr>
            <w:r>
              <w:t xml:space="preserve">6</w:t>
            </w:r>
          </w:p>
        </w:tc>
        <w:tc>
          <w:tcPr/>
          <w:p>
            <w:pPr>
              <w:pStyle w:val="Compact"/>
              <w:jc w:val="left"/>
            </w:pPr>
            <w:r>
              <w:t xml:space="preserve">1,950.00</w:t>
            </w:r>
          </w:p>
        </w:tc>
        <w:tc>
          <w:tcPr/>
          <w:p>
            <w:pPr>
              <w:pStyle w:val="Compact"/>
              <w:jc w:val="left"/>
            </w:pPr>
            <w:r>
              <w:t xml:space="preserve">11,700.00</w:t>
            </w:r>
          </w:p>
        </w:tc>
      </w:tr>
      <w:tr>
        <w:tc>
          <w:tcPr/>
          <w:p>
            <w:pPr>
              <w:pStyle w:val="Compact"/>
              <w:jc w:val="left"/>
            </w:pPr>
            <w:r>
              <w:t xml:space="preserve">06</w:t>
            </w:r>
          </w:p>
        </w:tc>
        <w:tc>
          <w:tcPr/>
          <w:p>
            <w:pPr>
              <w:pStyle w:val="Compact"/>
              <w:jc w:val="left"/>
            </w:pPr>
            <w:r>
              <w:t xml:space="preserve">Custom biomedical instrumentation – R&amp;D prototyping (design through to validation)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07</w:t>
            </w:r>
          </w:p>
        </w:tc>
        <w:tc>
          <w:tcPr/>
          <w:p>
            <w:pPr>
              <w:pStyle w:val="Compact"/>
              <w:jc w:val="left"/>
            </w:pPr>
            <w:r>
              <w:t xml:space="preserve">Staff training – clinical engineering fundamentals (2-day workshop, up to 25 delegates)</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08</w:t>
            </w:r>
          </w:p>
        </w:tc>
        <w:tc>
          <w:tcPr/>
          <w:p>
            <w:pPr>
              <w:pStyle w:val="Compact"/>
              <w:jc w:val="left"/>
            </w:pPr>
            <w:r>
              <w:t xml:space="preserve">Travel &amp; accommodation within Greater London (estimated)</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gridSpan w:val="5"/>
          </w:tcPr>
          <w:p>
            <w:pPr>
              <w:pStyle w:val="Compact"/>
              <w:jc w:val="left"/>
            </w:pPr>
            <w:r>
              <w:t xml:space="preserve">Subtotal (excl. VAT)</w:t>
            </w:r>
          </w:p>
        </w:tc>
        <w:tc>
          <w:tcPr/>
          <w:p>
            <w:pPr>
              <w:pStyle w:val="Compact"/>
              <w:jc w:val="left"/>
            </w:pPr>
            <w:r>
              <w:t xml:space="preserve">147,800.00</w:t>
            </w:r>
          </w:p>
        </w:tc>
      </w:tr>
      <w:tr>
        <w:tc>
          <w:tcPr>
            <w:gridSpan w:val="5"/>
          </w:tcPr>
          <w:p>
            <w:pPr>
              <w:pStyle w:val="Compact"/>
              <w:jc w:val="left"/>
            </w:pPr>
            <w:r>
              <w:t xml:space="preserve">VAT @ 20%</w:t>
            </w:r>
          </w:p>
        </w:tc>
        <w:tc>
          <w:tcPr/>
          <w:p>
            <w:pPr>
              <w:pStyle w:val="Compact"/>
              <w:jc w:val="left"/>
            </w:pPr>
            <w:r>
              <w:t xml:space="preserve">29,560.00</w:t>
            </w:r>
          </w:p>
        </w:tc>
      </w:tr>
      <w:tr>
        <w:tc>
          <w:tcPr>
            <w:gridSpan w:val="5"/>
          </w:tcPr>
          <w:p>
            <w:pPr>
              <w:pStyle w:val="Compact"/>
              <w:jc w:val="left"/>
            </w:pPr>
            <w:r>
              <w:t xml:space="preserve">TOTAL (incl. VAT)</w:t>
            </w:r>
          </w:p>
        </w:tc>
        <w:tc>
          <w:tcPr/>
          <w:p>
            <w:pPr>
              <w:pStyle w:val="Compact"/>
              <w:jc w:val="left"/>
            </w:pPr>
            <w:r>
              <w:t xml:space="preserve">177,360.00</w:t>
            </w:r>
          </w:p>
        </w:tc>
      </w:tr>
    </w:tbl>
    <w:bookmarkEnd w:id="27"/>
    <w:bookmarkStart w:id="28" w:name="terms-and-conditions"/>
    <w:p>
      <w:pPr>
        <w:pStyle w:val="Heading2"/>
      </w:pPr>
      <w:r>
        <w:t xml:space="preserve">4. Terms and Conditions</w:t>
      </w:r>
    </w:p>
    <w:p>
      <w:pPr>
        <w:numPr>
          <w:ilvl w:val="0"/>
          <w:numId w:val="1005"/>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all rates are subject to revision based on prevailing market conditions in</w:t>
      </w:r>
      <w:r>
        <w:t xml:space="preserve"> </w:t>
      </w:r>
      <w:r>
        <w:t xml:space="preserve">United Kingdom London</w:t>
      </w:r>
      <w:r>
        <w:t xml:space="preserve">.</w:t>
      </w:r>
    </w:p>
    <w:p>
      <w:pPr>
        <w:numPr>
          <w:ilvl w:val="0"/>
          <w:numId w:val="1005"/>
        </w:numPr>
        <w:pStyle w:val="Compact"/>
      </w:pPr>
      <w:r>
        <w:t xml:space="preserve">Payment terms: 30% deposit upon acceptance of this quotation; 40% upon completion of major milestones; 30% upon final delivery and sign-off. All invoices are payable within thirty (30) days of the invoice date.</w:t>
      </w:r>
    </w:p>
    <w:p>
      <w:pPr>
        <w:numPr>
          <w:ilvl w:val="0"/>
          <w:numId w:val="1005"/>
        </w:numPr>
        <w:pStyle w:val="Compact"/>
      </w:pPr>
      <w:r>
        <w:t xml:space="preserve">All services shall be performed by a qualified and chartered</w:t>
      </w:r>
      <w:r>
        <w:t xml:space="preserve"> </w:t>
      </w:r>
      <w:r>
        <w:t xml:space="preserve">Biomedical Engineer</w:t>
      </w:r>
      <w:r>
        <w:t xml:space="preserve"> </w:t>
      </w:r>
      <w:r>
        <w:t xml:space="preserve">holding membership of the Institution of Engineering and Technology (IET) or the Institution of Mechanical Engineers (IMechE), and shall comply with the IET Code of Conduct.</w:t>
      </w:r>
    </w:p>
    <w:p>
      <w:pPr>
        <w:numPr>
          <w:ilvl w:val="0"/>
          <w:numId w:val="1005"/>
        </w:numPr>
        <w:pStyle w:val="Compact"/>
      </w:pPr>
      <w:r>
        <w:t xml:space="preserve">The</w:t>
      </w:r>
      <w:r>
        <w:t xml:space="preserve"> </w:t>
      </w:r>
      <w:r>
        <w:t xml:space="preserve">Biomedical Engineer</w:t>
      </w:r>
      <w:r>
        <w:t xml:space="preserve"> </w:t>
      </w:r>
      <w:r>
        <w:t xml:space="preserve">assigned to this engagement shall carry professional indemnity insurance of no less than £5,000,000 per claim, as is standard practice for clinical engineering services in the United Kingdom.</w:t>
      </w:r>
    </w:p>
    <w:p>
      <w:pPr>
        <w:numPr>
          <w:ilvl w:val="0"/>
          <w:numId w:val="1005"/>
        </w:numPr>
        <w:pStyle w:val="Compact"/>
      </w:pPr>
      <w:r>
        <w:t xml:space="preserve">All work shall be conducted in accordance with the Health and Safety at Work etc. Act 1974, the Management of Health and Safety at Work Regulations 1999, and any site-specific safety protocols in force at the client's premises in</w:t>
      </w:r>
      <w:r>
        <w:t xml:space="preserve"> </w:t>
      </w:r>
      <w:r>
        <w:t xml:space="preserve">United Kingdom London</w:t>
      </w:r>
      <w:r>
        <w:t xml:space="preserve">.</w:t>
      </w:r>
    </w:p>
    <w:p>
      <w:pPr>
        <w:numPr>
          <w:ilvl w:val="0"/>
          <w:numId w:val="1005"/>
        </w:numPr>
        <w:pStyle w:val="Compact"/>
      </w:pPr>
      <w:r>
        <w:t xml:space="preserve">Intellectual property generated specifically for the client under this engagement shall vest in the client upon full payment. Pre-existing IP of the service provider remains the property of Meridian Biomedical Solutions Ltd.</w:t>
      </w:r>
    </w:p>
    <w:p>
      <w:pPr>
        <w:numPr>
          <w:ilvl w:val="0"/>
          <w:numId w:val="1005"/>
        </w:numPr>
        <w:pStyle w:val="Compact"/>
      </w:pPr>
      <w:r>
        <w:t xml:space="preserve">Any variation to the scope of work must be agreed in writing by both parties prior to commencement. Additional work not covered by this</w:t>
      </w:r>
      <w:r>
        <w:t xml:space="preserve"> </w:t>
      </w:r>
      <w:r>
        <w:t xml:space="preserve">Quotation Estimate</w:t>
      </w:r>
      <w:r>
        <w:t xml:space="preserve"> </w:t>
      </w:r>
      <w:r>
        <w:t xml:space="preserve">will be billed at the standard hourly rate of £145.00 (excl. VAT) for a senior</w:t>
      </w:r>
      <w:r>
        <w:t xml:space="preserve"> </w:t>
      </w:r>
      <w:r>
        <w:t xml:space="preserve">Biomedical Engineer</w:t>
      </w:r>
      <w:r>
        <w:t xml:space="preserve">.</w:t>
      </w:r>
    </w:p>
    <w:p>
      <w:pPr>
        <w:numPr>
          <w:ilvl w:val="0"/>
          <w:numId w:val="1005"/>
        </w:numPr>
        <w:pStyle w:val="Compact"/>
      </w:pPr>
      <w:r>
        <w:t xml:space="preserve">This quotation is governed by the laws of England and Wales. Any disputes shall be subject to the exclusive jurisdiction of the courts of</w:t>
      </w:r>
      <w:r>
        <w:t xml:space="preserve"> </w:t>
      </w:r>
      <w:r>
        <w:t xml:space="preserve">United Kingdom London</w:t>
      </w:r>
      <w:r>
        <w:t xml:space="preserve">.</w:t>
      </w:r>
    </w:p>
    <w:p>
      <w:pPr>
        <w:numPr>
          <w:ilvl w:val="0"/>
          <w:numId w:val="1005"/>
        </w:numPr>
        <w:pStyle w:val="Compact"/>
      </w:pPr>
      <w:r>
        <w:t xml:space="preserve">Confidentiality: Both parties agree to maintain strict confidentiality regarding all patient data, proprietary designs, and commercial information exchanged during the course of this engagement, in compliance with UK GDPR and the Data Protection Act 2018.</w:t>
      </w:r>
    </w:p>
    <w:p>
      <w:pPr>
        <w:pStyle w:val="FirstParagraph"/>
      </w:pPr>
      <w:r>
        <w:rPr>
          <w:bCs/>
          <w:b/>
        </w:rPr>
        <w:t xml:space="preserve">Note:</w:t>
      </w:r>
      <w:r>
        <w:t xml:space="preserve"> </w:t>
      </w:r>
      <w:r>
        <w:t xml:space="preserve">This Quotation Estimate assumes standard working hours (Monday to Friday, 08:00–17:00, United Kingdom London time). Out-of-hours or emergency call-out services will be charged at 1.5× the standard hourly rate. All travel within the M25 motorway boundary is included; travel beyond this boundary will be invoiced at actual cost.</w:t>
      </w:r>
    </w:p>
    <w:bookmarkEnd w:id="28"/>
    <w:bookmarkStart w:id="29" w:name="acceptance"/>
    <w:p>
      <w:pPr>
        <w:pStyle w:val="Heading2"/>
      </w:pPr>
      <w:r>
        <w:t xml:space="preserve">5. Acceptance</w:t>
      </w:r>
    </w:p>
    <w:p>
      <w:pPr>
        <w:pStyle w:val="FirstParagraph"/>
      </w:pPr>
      <w:r>
        <w:t xml:space="preserve">By signing below, the client acknowledges and accepts the terms, conditions, and pricing set out in this</w:t>
      </w:r>
      <w:r>
        <w:t xml:space="preserve"> </w:t>
      </w:r>
      <w:r>
        <w:t xml:space="preserve">Quotation Estimate</w:t>
      </w:r>
      <w:r>
        <w:t xml:space="preserve"> </w:t>
      </w:r>
      <w:r>
        <w:t xml:space="preserve">for the provision of</w:t>
      </w:r>
      <w:r>
        <w:t xml:space="preserve"> </w:t>
      </w:r>
      <w:r>
        <w:t xml:space="preserve">Biomedical Engineer</w:t>
      </w:r>
      <w:r>
        <w:t xml:space="preserve"> </w:t>
      </w:r>
      <w:r>
        <w:t xml:space="preserve">services in</w:t>
      </w:r>
      <w:r>
        <w:t xml:space="preserve"> </w:t>
      </w:r>
      <w:r>
        <w:t xml:space="preserve">United Kingdom London</w:t>
      </w:r>
      <w:r>
        <w:t xml:space="preserve">.</w:t>
      </w:r>
    </w:p>
    <w:p>
      <w:pPr>
        <w:pStyle w:val="BodyText"/>
      </w:pPr>
      <w:r>
        <w:rPr>
          <w:bCs/>
          <w:b/>
        </w:rPr>
        <w:t xml:space="preserve">For Meridian Biomedical Solutions Ltd</w:t>
      </w:r>
    </w:p>
    <w:p>
      <w:pPr>
        <w:pStyle w:val="BodyText"/>
      </w:pPr>
      <w:r>
        <w:t xml:space="preserve">Name: Dr. Eleanor Whitfield, CEng, MIEE</w:t>
      </w:r>
    </w:p>
    <w:p>
      <w:pPr>
        <w:pStyle w:val="BodyText"/>
      </w:pPr>
      <w:r>
        <w:t xml:space="preserve">Title: Lead Biomedical Engineer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Meridian Biomedical Solutions Ltd | Registered in England &amp; Wales No. 09876543 | VAT No. GB 123 4567 89</w:t>
      </w:r>
    </w:p>
    <w:p>
      <w:pPr>
        <w:pStyle w:val="BodyText"/>
      </w:pPr>
      <w:r>
        <w:t xml:space="preserve">42 Aldwych, London WC2B 4BJ, United Kingdom | enquiries@meridianbiomedical.co.uk | +44 (0)20 7946 0821</w:t>
      </w:r>
    </w:p>
    <w:p>
      <w:pPr>
        <w:pStyle w:val="BodyText"/>
      </w:pPr>
      <w:r>
        <w:t xml:space="preserve">This Quotation Estimate is a confidential document intended solely for the named client. Unauthorised reproduction or distribution is prohibited.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United Kingdom London</dc:title>
  <dc:creator/>
  <dc:language>en-GB</dc:language>
  <cp:keywords/>
  <dcterms:created xsi:type="dcterms:W3CDTF">2026-10-10T04:21:34Z</dcterms:created>
  <dcterms:modified xsi:type="dcterms:W3CDTF">2026-10-10T04:21:34Z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