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quotation-estimate"/>
    <w:p>
      <w:pPr>
        <w:pStyle w:val="Heading1"/>
      </w:pPr>
      <w:r>
        <w:t xml:space="preserve">QUOTATION ESTIMATE</w:t>
      </w:r>
    </w:p>
    <w:p>
      <w:pPr>
        <w:pStyle w:val="FirstParagraph"/>
      </w:pPr>
      <w:r>
        <w:t xml:space="preserve">Professional Business Consultant Services — Argentina Buenos Aires</w:t>
      </w:r>
    </w:p>
    <w:p>
      <w:pPr>
        <w:pStyle w:val="BodyText"/>
      </w:pPr>
      <w:r>
        <w:t xml:space="preserve">Strategic Advisory &amp; Organizational Development</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QE-BA-2025-04782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c>
          <w:tcPr/>
          <w:p>
            <w:pPr>
              <w:pStyle w:val="Compact"/>
              <w:jc w:val="left"/>
            </w:pPr>
            <w:r>
              <w:t xml:space="preserve">Currency:</w:t>
            </w:r>
          </w:p>
        </w:tc>
        <w:tc>
          <w:tcPr/>
          <w:p>
            <w:pPr>
              <w:pStyle w:val="Compact"/>
              <w:jc w:val="left"/>
            </w:pPr>
            <w:r>
              <w:t xml:space="preserve">Argentine Peso (ARS)</w:t>
            </w:r>
          </w:p>
        </w:tc>
      </w:tr>
      <w:tr>
        <w:tc>
          <w:tcPr/>
          <w:p>
            <w:pPr>
              <w:pStyle w:val="Compact"/>
              <w:jc w:val="left"/>
            </w:pPr>
            <w:r>
              <w:t xml:space="preserve">Prepared By:</w:t>
            </w:r>
          </w:p>
        </w:tc>
        <w:tc>
          <w:tcPr/>
          <w:p>
            <w:pPr>
              <w:pStyle w:val="Compact"/>
              <w:jc w:val="left"/>
            </w:pPr>
            <w:r>
              <w:t xml:space="preserve">Andrés M. Villanueva, Senior Business Consultant</w:t>
            </w:r>
          </w:p>
        </w:tc>
        <w:tc>
          <w:tcPr/>
          <w:p>
            <w:pPr>
              <w:pStyle w:val="Compact"/>
              <w:jc w:val="left"/>
            </w:pPr>
            <w:r>
              <w:t xml:space="preserve">Office Location:</w:t>
            </w:r>
          </w:p>
        </w:tc>
        <w:tc>
          <w:tcPr/>
          <w:p>
            <w:pPr>
              <w:pStyle w:val="Compact"/>
              <w:jc w:val="left"/>
            </w:pPr>
            <w:r>
              <w:t xml:space="preserve">Av. Corrientes 1250, Piso 14, Buenos Aires, C1043, Argentina</w:t>
            </w:r>
          </w:p>
        </w:tc>
      </w:tr>
    </w:tbl>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Client Name:</w:t>
            </w:r>
          </w:p>
        </w:tc>
        <w:tc>
          <w:tcPr/>
          <w:p>
            <w:pPr>
              <w:pStyle w:val="Compact"/>
              <w:jc w:val="left"/>
            </w:pPr>
            <w:r>
              <w:t xml:space="preserve">Grupo Industrial del Plata S.A.</w:t>
            </w:r>
          </w:p>
        </w:tc>
      </w:tr>
      <w:tr>
        <w:tc>
          <w:tcPr/>
          <w:p>
            <w:pPr>
              <w:pStyle w:val="Compact"/>
              <w:jc w:val="left"/>
            </w:pPr>
            <w:r>
              <w:t xml:space="preserve">CUIT:</w:t>
            </w:r>
          </w:p>
        </w:tc>
        <w:tc>
          <w:tcPr/>
          <w:p>
            <w:pPr>
              <w:pStyle w:val="Compact"/>
              <w:jc w:val="left"/>
            </w:pPr>
            <w:r>
              <w:t xml:space="preserve">30-71234567-8</w:t>
            </w:r>
          </w:p>
        </w:tc>
      </w:tr>
      <w:tr>
        <w:tc>
          <w:tcPr/>
          <w:p>
            <w:pPr>
              <w:pStyle w:val="Compact"/>
              <w:jc w:val="left"/>
            </w:pPr>
            <w:r>
              <w:t xml:space="preserve">Address:</w:t>
            </w:r>
          </w:p>
        </w:tc>
        <w:tc>
          <w:tcPr/>
          <w:p>
            <w:pPr>
              <w:pStyle w:val="Compact"/>
              <w:jc w:val="left"/>
            </w:pPr>
            <w:r>
              <w:t xml:space="preserve">Av. del Libertador 4520, Piso 8, Buenos Aires, C1425, Argentina</w:t>
            </w:r>
          </w:p>
        </w:tc>
      </w:tr>
      <w:tr>
        <w:tc>
          <w:tcPr/>
          <w:p>
            <w:pPr>
              <w:pStyle w:val="Compact"/>
              <w:jc w:val="left"/>
            </w:pPr>
            <w:r>
              <w:t xml:space="preserve">Contact Person:</w:t>
            </w:r>
          </w:p>
        </w:tc>
        <w:tc>
          <w:tcPr/>
          <w:p>
            <w:pPr>
              <w:pStyle w:val="Compact"/>
              <w:jc w:val="left"/>
            </w:pPr>
            <w:r>
              <w:t xml:space="preserve">Ing. Carolina Régules — Director of Operations</w:t>
            </w:r>
          </w:p>
        </w:tc>
      </w:tr>
      <w:tr>
        <w:tc>
          <w:tcPr/>
          <w:p>
            <w:pPr>
              <w:pStyle w:val="Compact"/>
              <w:jc w:val="left"/>
            </w:pPr>
            <w:r>
              <w:t xml:space="preserve">Email / Phone:</w:t>
            </w:r>
          </w:p>
        </w:tc>
        <w:tc>
          <w:tcPr/>
          <w:p>
            <w:pPr>
              <w:pStyle w:val="Compact"/>
              <w:jc w:val="left"/>
            </w:pPr>
            <w:r>
              <w:t xml:space="preserve">c.regules@grupodelplata.com.ar / +54 11 4321-8890</w:t>
            </w:r>
          </w:p>
        </w:tc>
      </w:tr>
    </w:tbl>
    <w:bookmarkEnd w:id="21"/>
    <w:bookmarkStart w:id="22" w:name="X38c04614c6852dc42671939c78d168ce144be86"/>
    <w:p>
      <w:pPr>
        <w:pStyle w:val="Heading2"/>
      </w:pPr>
      <w:r>
        <w:t xml:space="preserve">2. Scope of Services — Business Consultant Engagement</w:t>
      </w:r>
    </w:p>
    <w:p>
      <w:pPr>
        <w:pStyle w:val="FirstParagraph"/>
      </w:pPr>
      <w:r>
        <w:t xml:space="preserve">This</w:t>
      </w:r>
      <w:r>
        <w:t xml:space="preserve"> </w:t>
      </w:r>
      <w:r>
        <w:t xml:space="preserve">Quotation Estimate</w:t>
      </w:r>
      <w:r>
        <w:t xml:space="preserve"> </w:t>
      </w:r>
      <w:r>
        <w:t xml:space="preserve">is issued by Villanueva &amp; Asociados Consultores, a registered professional firm operating in</w:t>
      </w:r>
      <w:r>
        <w:t xml:space="preserve"> </w:t>
      </w:r>
      <w:r>
        <w:t xml:space="preserve">Argentina Buenos Aires</w:t>
      </w:r>
      <w:r>
        <w:t xml:space="preserve">, to provide comprehensive</w:t>
      </w:r>
      <w:r>
        <w:t xml:space="preserve"> </w:t>
      </w:r>
      <w:r>
        <w:t xml:space="preserve">Business Consultant</w:t>
      </w:r>
      <w:r>
        <w:t xml:space="preserve"> </w:t>
      </w:r>
      <w:r>
        <w:t xml:space="preserve">services to Grupo Industrial del Plata S.A. The engagement is designed to address the client’s strategic growth objectives, operational inefficiencies, and market expansion needs within the competitive landscape of the Buenos Aires metropolitan area and the broader Argentine economy. As a</w:t>
      </w:r>
      <w:r>
        <w:t xml:space="preserve"> </w:t>
      </w:r>
      <w:r>
        <w:t xml:space="preserve">Business Consultant</w:t>
      </w:r>
      <w:r>
        <w:t xml:space="preserve"> </w:t>
      </w:r>
      <w:r>
        <w:t xml:space="preserve">with over fifteen years of experience serving enterprises in</w:t>
      </w:r>
      <w:r>
        <w:t xml:space="preserve"> </w:t>
      </w:r>
      <w:r>
        <w:t xml:space="preserve">Argentina Buenos Aires</w:t>
      </w:r>
      <w:r>
        <w:t xml:space="preserve">, the undersigned professional is committed to delivering measurable, data-driven results tailored to the specific regulatory, fiscal, and commercial environment of the region.</w:t>
      </w:r>
    </w:p>
    <w:bookmarkEnd w:id="22"/>
    <w:bookmarkStart w:id="23" w:name="detailed-line-items-cost-breakdown"/>
    <w:p>
      <w:pPr>
        <w:pStyle w:val="Heading2"/>
      </w:pPr>
      <w:r>
        <w:t xml:space="preserve">3. Detailed Line Items &amp;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(ARS)</w:t>
            </w:r>
          </w:p>
        </w:tc>
        <w:tc>
          <w:tcPr/>
          <w:p>
            <w:pPr>
              <w:pStyle w:val="Compact"/>
              <w:jc w:val="left"/>
            </w:pPr>
            <w:r>
              <w:t xml:space="preserve">Subtotal (ARS)</w:t>
            </w:r>
          </w:p>
        </w:tc>
        <w:tc>
          <w:tcPr/>
          <w:p>
            <w:pPr>
              <w:pStyle w:val="Compact"/>
              <w:jc w:val="left"/>
            </w:pPr>
            <w:r>
              <w:t xml:space="preserve">Notes</w:t>
            </w:r>
          </w:p>
        </w:tc>
      </w:tr>
      <w:tr>
        <w:tc>
          <w:tcPr/>
          <w:p>
            <w:pPr>
              <w:pStyle w:val="Compact"/>
              <w:jc w:val="left"/>
            </w:pPr>
            <w:r>
              <w:t xml:space="preserve">1</w:t>
            </w:r>
          </w:p>
        </w:tc>
        <w:tc>
          <w:tcPr/>
          <w:p>
            <w:pPr>
              <w:pStyle w:val="Compact"/>
              <w:jc w:val="left"/>
            </w:pPr>
            <w:r>
              <w:rPr>
                <w:bCs/>
                <w:b/>
              </w:rPr>
              <w:t xml:space="preserve">Strategic Business Plan Development</w:t>
            </w:r>
            <w:r>
              <w:t xml:space="preserve"> </w:t>
            </w:r>
            <w:r>
              <w:t xml:space="preserve">— Full diagnostic of current operations, SWOT analysis, competitive benchmarking against peers in Buenos Aires, and formulation of a 3-year strategic roadmap.</w:t>
            </w:r>
          </w:p>
        </w:tc>
        <w:tc>
          <w:tcPr/>
          <w:p>
            <w:pPr>
              <w:pStyle w:val="Compact"/>
              <w:jc w:val="left"/>
            </w:pPr>
            <w:r>
              <w:t xml:space="preserve">6 weeks</w:t>
            </w:r>
          </w:p>
        </w:tc>
        <w:tc>
          <w:tcPr/>
          <w:p>
            <w:pPr>
              <w:pStyle w:val="Compact"/>
              <w:jc w:val="left"/>
            </w:pPr>
            <w:r>
              <w:t xml:space="preserve">185,000 / week</w:t>
            </w:r>
          </w:p>
        </w:tc>
        <w:tc>
          <w:tcPr/>
          <w:p>
            <w:pPr>
              <w:pStyle w:val="Compact"/>
              <w:jc w:val="left"/>
            </w:pPr>
            <w:r>
              <w:t xml:space="preserve">1,110,000</w:t>
            </w:r>
          </w:p>
        </w:tc>
        <w:tc>
          <w:tcPr/>
          <w:p>
            <w:pPr>
              <w:pStyle w:val="Compact"/>
              <w:jc w:val="left"/>
            </w:pPr>
            <w:r>
              <w:t xml:space="preserve">Includes 4 on-site visits to client facilities in Buenos Aires</w:t>
            </w:r>
          </w:p>
        </w:tc>
      </w:tr>
      <w:tr>
        <w:tc>
          <w:tcPr/>
          <w:p>
            <w:pPr>
              <w:pStyle w:val="Compact"/>
              <w:jc w:val="left"/>
            </w:pPr>
            <w:r>
              <w:t xml:space="preserve">2</w:t>
            </w:r>
          </w:p>
        </w:tc>
        <w:tc>
          <w:tcPr/>
          <w:p>
            <w:pPr>
              <w:pStyle w:val="Compact"/>
              <w:jc w:val="left"/>
            </w:pPr>
            <w:r>
              <w:rPr>
                <w:bCs/>
                <w:b/>
              </w:rPr>
              <w:t xml:space="preserve">Operational Process Optimization</w:t>
            </w:r>
            <w:r>
              <w:t xml:space="preserve"> </w:t>
            </w:r>
            <w:r>
              <w:t xml:space="preserve">— Lean manufacturing assessment, supply chain mapping, and implementation of process improvement protocols aligned with Argentine labor and industrial regulations.</w:t>
            </w:r>
          </w:p>
        </w:tc>
        <w:tc>
          <w:tcPr/>
          <w:p>
            <w:pPr>
              <w:pStyle w:val="Compact"/>
              <w:jc w:val="left"/>
            </w:pPr>
            <w:r>
              <w:t xml:space="preserve">8 weeks</w:t>
            </w:r>
          </w:p>
        </w:tc>
        <w:tc>
          <w:tcPr/>
          <w:p>
            <w:pPr>
              <w:pStyle w:val="Compact"/>
              <w:jc w:val="left"/>
            </w:pPr>
            <w:r>
              <w:t xml:space="preserve">165,000 / week</w:t>
            </w:r>
          </w:p>
        </w:tc>
        <w:tc>
          <w:tcPr/>
          <w:p>
            <w:pPr>
              <w:pStyle w:val="Compact"/>
              <w:jc w:val="left"/>
            </w:pPr>
            <w:r>
              <w:t xml:space="preserve">1,320,000</w:t>
            </w:r>
          </w:p>
        </w:tc>
        <w:tc>
          <w:tcPr/>
          <w:p>
            <w:pPr>
              <w:pStyle w:val="Compact"/>
              <w:jc w:val="left"/>
            </w:pPr>
            <w:r>
              <w:t xml:space="preserve">Deliverables in Spanish and English</w:t>
            </w:r>
          </w:p>
        </w:tc>
      </w:tr>
      <w:tr>
        <w:tc>
          <w:tcPr/>
          <w:p>
            <w:pPr>
              <w:pStyle w:val="Compact"/>
              <w:jc w:val="left"/>
            </w:pPr>
            <w:r>
              <w:t xml:space="preserve">3</w:t>
            </w:r>
          </w:p>
        </w:tc>
        <w:tc>
          <w:tcPr/>
          <w:p>
            <w:pPr>
              <w:pStyle w:val="Compact"/>
              <w:jc w:val="left"/>
            </w:pPr>
            <w:r>
              <w:rPr>
                <w:bCs/>
                <w:b/>
              </w:rPr>
              <w:t xml:space="preserve">Financial Restructuring Advisory</w:t>
            </w:r>
            <w:r>
              <w:t xml:space="preserve"> </w:t>
            </w:r>
            <w:r>
              <w:t xml:space="preserve">— Cash flow modeling, debt restructuring options, tax optimization under current Argentine fiscal policy, and investor presentation preparation.</w:t>
            </w:r>
          </w:p>
        </w:tc>
        <w:tc>
          <w:tcPr/>
          <w:p>
            <w:pPr>
              <w:pStyle w:val="Compact"/>
              <w:jc w:val="left"/>
            </w:pPr>
            <w:r>
              <w:t xml:space="preserve">5 weeks</w:t>
            </w:r>
          </w:p>
        </w:tc>
        <w:tc>
          <w:tcPr/>
          <w:p>
            <w:pPr>
              <w:pStyle w:val="Compact"/>
              <w:jc w:val="left"/>
            </w:pPr>
            <w:r>
              <w:t xml:space="preserve">210,000 / week</w:t>
            </w:r>
          </w:p>
        </w:tc>
        <w:tc>
          <w:tcPr/>
          <w:p>
            <w:pPr>
              <w:pStyle w:val="Compact"/>
              <w:jc w:val="left"/>
            </w:pPr>
            <w:r>
              <w:t xml:space="preserve">1,050,000</w:t>
            </w:r>
          </w:p>
        </w:tc>
        <w:tc>
          <w:tcPr/>
          <w:p>
            <w:pPr>
              <w:pStyle w:val="Compact"/>
              <w:jc w:val="left"/>
            </w:pPr>
            <w:r>
              <w:t xml:space="preserve">Coordination with client’s external auditors</w:t>
            </w:r>
          </w:p>
        </w:tc>
      </w:tr>
      <w:tr>
        <w:tc>
          <w:tcPr/>
          <w:p>
            <w:pPr>
              <w:pStyle w:val="Compact"/>
              <w:jc w:val="left"/>
            </w:pPr>
            <w:r>
              <w:t xml:space="preserve">4</w:t>
            </w:r>
          </w:p>
        </w:tc>
        <w:tc>
          <w:tcPr/>
          <w:p>
            <w:pPr>
              <w:pStyle w:val="Compact"/>
              <w:jc w:val="left"/>
            </w:pPr>
            <w:r>
              <w:rPr>
                <w:bCs/>
                <w:b/>
              </w:rPr>
              <w:t xml:space="preserve">Market Entry &amp; Expansion Strategy</w:t>
            </w:r>
            <w:r>
              <w:t xml:space="preserve"> </w:t>
            </w:r>
            <w:r>
              <w:t xml:space="preserve">— Feasibility study for expansion into Mendoza and Córdoba provinces, regulatory compliance review, and local partnership identification.</w:t>
            </w:r>
          </w:p>
        </w:tc>
        <w:tc>
          <w:tcPr/>
          <w:p>
            <w:pPr>
              <w:pStyle w:val="Compact"/>
              <w:jc w:val="left"/>
            </w:pPr>
            <w:r>
              <w:t xml:space="preserve">4 weeks</w:t>
            </w:r>
          </w:p>
        </w:tc>
        <w:tc>
          <w:tcPr/>
          <w:p>
            <w:pPr>
              <w:pStyle w:val="Compact"/>
              <w:jc w:val="left"/>
            </w:pPr>
            <w:r>
              <w:t xml:space="preserve">195,000 / week</w:t>
            </w:r>
          </w:p>
        </w:tc>
        <w:tc>
          <w:tcPr/>
          <w:p>
            <w:pPr>
              <w:pStyle w:val="Compact"/>
              <w:jc w:val="left"/>
            </w:pPr>
            <w:r>
              <w:t xml:space="preserve">780,000</w:t>
            </w:r>
          </w:p>
        </w:tc>
        <w:tc>
          <w:tcPr/>
          <w:p>
            <w:pPr>
              <w:pStyle w:val="Compact"/>
              <w:jc w:val="left"/>
            </w:pPr>
            <w:r>
              <w:t xml:space="preserve">Includes travel to two provincial sites</w:t>
            </w:r>
          </w:p>
        </w:tc>
      </w:tr>
      <w:tr>
        <w:tc>
          <w:tcPr/>
          <w:p>
            <w:pPr>
              <w:pStyle w:val="Compact"/>
              <w:jc w:val="left"/>
            </w:pPr>
            <w:r>
              <w:t xml:space="preserve">5</w:t>
            </w:r>
          </w:p>
        </w:tc>
        <w:tc>
          <w:tcPr/>
          <w:p>
            <w:pPr>
              <w:pStyle w:val="Compact"/>
              <w:jc w:val="left"/>
            </w:pPr>
            <w:r>
              <w:rPr>
                <w:bCs/>
                <w:b/>
              </w:rPr>
              <w:t xml:space="preserve">Leadership &amp; Team Development Workshops</w:t>
            </w:r>
            <w:r>
              <w:t xml:space="preserve"> </w:t>
            </w:r>
            <w:r>
              <w:t xml:space="preserve">— Four half-day executive workshops for the C-suite and department heads covering change management, KPI governance, and digital transformation readiness.</w:t>
            </w:r>
          </w:p>
        </w:tc>
        <w:tc>
          <w:tcPr/>
          <w:p>
            <w:pPr>
              <w:pStyle w:val="Compact"/>
              <w:jc w:val="left"/>
            </w:pPr>
            <w:r>
              <w:t xml:space="preserve">4 sessions</w:t>
            </w:r>
          </w:p>
        </w:tc>
        <w:tc>
          <w:tcPr/>
          <w:p>
            <w:pPr>
              <w:pStyle w:val="Compact"/>
              <w:jc w:val="left"/>
            </w:pPr>
            <w:r>
              <w:t xml:space="preserve">95,000 / session</w:t>
            </w:r>
          </w:p>
        </w:tc>
        <w:tc>
          <w:tcPr/>
          <w:p>
            <w:pPr>
              <w:pStyle w:val="Compact"/>
              <w:jc w:val="left"/>
            </w:pPr>
            <w:r>
              <w:t xml:space="preserve">380,000</w:t>
            </w:r>
          </w:p>
        </w:tc>
        <w:tc>
          <w:tcPr/>
          <w:p>
            <w:pPr>
              <w:pStyle w:val="Compact"/>
              <w:jc w:val="left"/>
            </w:pPr>
            <w:r>
              <w:t xml:space="preserve">Materials and venue coordination included</w:t>
            </w:r>
          </w:p>
        </w:tc>
      </w:tr>
      <w:tr>
        <w:tc>
          <w:tcPr/>
          <w:p>
            <w:pPr>
              <w:pStyle w:val="Compact"/>
              <w:jc w:val="left"/>
            </w:pPr>
            <w:r>
              <w:t xml:space="preserve">6</w:t>
            </w:r>
          </w:p>
        </w:tc>
        <w:tc>
          <w:tcPr/>
          <w:p>
            <w:pPr>
              <w:pStyle w:val="Compact"/>
              <w:jc w:val="left"/>
            </w:pPr>
            <w:r>
              <w:rPr>
                <w:bCs/>
                <w:b/>
              </w:rPr>
              <w:t xml:space="preserve">Ongoing Advisory Retainer (Post-Engagement)</w:t>
            </w:r>
            <w:r>
              <w:t xml:space="preserve"> </w:t>
            </w:r>
            <w:r>
              <w:t xml:space="preserve">— Monthly strategic check-in calls, email support, and quarterly progress reviews for a period of six months following project completion.</w:t>
            </w:r>
          </w:p>
        </w:tc>
        <w:tc>
          <w:tcPr/>
          <w:p>
            <w:pPr>
              <w:pStyle w:val="Compact"/>
              <w:jc w:val="left"/>
            </w:pPr>
            <w:r>
              <w:t xml:space="preserve">6 months</w:t>
            </w:r>
          </w:p>
        </w:tc>
        <w:tc>
          <w:tcPr/>
          <w:p>
            <w:pPr>
              <w:pStyle w:val="Compact"/>
              <w:jc w:val="left"/>
            </w:pPr>
            <w:r>
              <w:t xml:space="preserve">85,000 / month</w:t>
            </w:r>
          </w:p>
        </w:tc>
        <w:tc>
          <w:tcPr/>
          <w:p>
            <w:pPr>
              <w:pStyle w:val="Compact"/>
              <w:jc w:val="left"/>
            </w:pPr>
            <w:r>
              <w:t xml:space="preserve">510,000</w:t>
            </w:r>
          </w:p>
        </w:tc>
        <w:tc>
          <w:tcPr/>
          <w:p>
            <w:pPr>
              <w:pStyle w:val="Compact"/>
              <w:jc w:val="left"/>
            </w:pPr>
            <w:r>
              <w:t xml:space="preserve">Renewable by mutual agreement</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(Services 1–6)</w:t>
            </w:r>
          </w:p>
        </w:tc>
        <w:tc>
          <w:tcPr/>
          <w:p>
            <w:pPr>
              <w:pStyle w:val="Compact"/>
              <w:jc w:val="right"/>
            </w:pPr>
            <w:r>
              <w:t xml:space="preserve">ARS 5,150,000</w:t>
            </w:r>
          </w:p>
        </w:tc>
      </w:tr>
      <w:tr>
        <w:tc>
          <w:tcPr/>
          <w:p>
            <w:pPr>
              <w:pStyle w:val="Compact"/>
              <w:jc w:val="left"/>
            </w:pPr>
            <w:r>
              <w:t xml:space="preserve">Applicable IVA (21%)</w:t>
            </w:r>
          </w:p>
        </w:tc>
        <w:tc>
          <w:tcPr/>
          <w:p>
            <w:pPr>
              <w:pStyle w:val="Compact"/>
              <w:jc w:val="right"/>
            </w:pPr>
            <w:r>
              <w:t xml:space="preserve">ARS 1,081,500</w:t>
            </w:r>
          </w:p>
        </w:tc>
      </w:tr>
      <w:tr>
        <w:tc>
          <w:tcPr/>
          <w:p>
            <w:pPr>
              <w:pStyle w:val="Compact"/>
              <w:jc w:val="left"/>
            </w:pPr>
            <w:r>
              <w:t xml:space="preserve">Professional Services Tax (Ingresos Brutos, Buenos Aires)</w:t>
            </w:r>
          </w:p>
        </w:tc>
        <w:tc>
          <w:tcPr/>
          <w:p>
            <w:pPr>
              <w:pStyle w:val="Compact"/>
              <w:jc w:val="right"/>
            </w:pPr>
            <w:r>
              <w:t xml:space="preserve">ARS 128,750</w:t>
            </w:r>
          </w:p>
        </w:tc>
      </w:tr>
      <w:tr>
        <w:tc>
          <w:tcPr/>
          <w:p>
            <w:pPr>
              <w:pStyle w:val="Compact"/>
              <w:jc w:val="left"/>
            </w:pPr>
            <w:r>
              <w:t xml:space="preserve">TOTAL ESTIMATED COST</w:t>
            </w:r>
          </w:p>
        </w:tc>
        <w:tc>
          <w:tcPr/>
          <w:p>
            <w:pPr>
              <w:pStyle w:val="Compact"/>
              <w:jc w:val="right"/>
            </w:pPr>
            <w:r>
              <w:t xml:space="preserve">ARS 6,360,250</w:t>
            </w:r>
          </w:p>
        </w:tc>
      </w:tr>
    </w:tbl>
    <w:bookmarkEnd w:id="23"/>
    <w:bookmarkStart w:id="24" w:name="payment-schedule"/>
    <w:p>
      <w:pPr>
        <w:pStyle w:val="Heading2"/>
      </w:pPr>
      <w:r>
        <w:t xml:space="preserve">4. Payment Schedule</w:t>
      </w:r>
    </w:p>
    <w:p>
      <w:pPr>
        <w:pStyle w:val="FirstParagraph"/>
      </w:pPr>
      <w:r>
        <w:t xml:space="preserve">The total amount set forth in this</w:t>
      </w:r>
      <w:r>
        <w:t xml:space="preserve"> </w:t>
      </w:r>
      <w:r>
        <w:t xml:space="preserve">Quotation Estimate</w:t>
      </w:r>
      <w:r>
        <w:t xml:space="preserve"> </w:t>
      </w:r>
      <w:r>
        <w:t xml:space="preserve">shall be paid according to the following milestones, all denominated in Argentine Pesos and payable via bank transfer to the account of Villanueva &amp; Asociados Consultores, Banco de la Nación Argentina, CBU 01100011000000012345678901:</w:t>
      </w:r>
    </w:p>
    <w:p>
      <w:pPr>
        <w:numPr>
          <w:ilvl w:val="0"/>
          <w:numId w:val="1001"/>
        </w:numPr>
        <w:pStyle w:val="Compact"/>
      </w:pPr>
      <w:r>
        <w:rPr>
          <w:bCs/>
          <w:b/>
        </w:rPr>
        <w:t xml:space="preserve">30% advance</w:t>
      </w:r>
      <w:r>
        <w:t xml:space="preserve"> </w:t>
      </w:r>
      <w:r>
        <w:t xml:space="preserve">(ARS 1,908,075) upon signed acceptance of this Quotation Estimate.</w:t>
      </w:r>
    </w:p>
    <w:p>
      <w:pPr>
        <w:numPr>
          <w:ilvl w:val="0"/>
          <w:numId w:val="1001"/>
        </w:numPr>
        <w:pStyle w:val="Compact"/>
      </w:pPr>
      <w:r>
        <w:rPr>
          <w:bCs/>
          <w:b/>
        </w:rPr>
        <w:t xml:space="preserve">40% interim</w:t>
      </w:r>
      <w:r>
        <w:t xml:space="preserve"> </w:t>
      </w:r>
      <w:r>
        <w:t xml:space="preserve">(ARS 2,544,100) upon delivery of the Strategic Business Plan and Operational Optimization reports.</w:t>
      </w:r>
    </w:p>
    <w:p>
      <w:pPr>
        <w:numPr>
          <w:ilvl w:val="0"/>
          <w:numId w:val="1001"/>
        </w:numPr>
        <w:pStyle w:val="Compact"/>
      </w:pPr>
      <w:r>
        <w:rPr>
          <w:bCs/>
          <w:b/>
        </w:rPr>
        <w:t xml:space="preserve">30% final</w:t>
      </w:r>
      <w:r>
        <w:t xml:space="preserve"> </w:t>
      </w:r>
      <w:r>
        <w:t xml:space="preserve">(ARS 1,908,075) upon completion of all deliverables and the final advisory session.</w:t>
      </w:r>
    </w:p>
    <w:bookmarkEnd w:id="24"/>
    <w:bookmarkStart w:id="25" w:name="terms-conditions"/>
    <w:p>
      <w:pPr>
        <w:pStyle w:val="Heading2"/>
      </w:pPr>
      <w:r>
        <w:t xml:space="preserve">5. Terms &amp;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adjusted to reflect changes in the Argentine economic environment, including inflation indexation per INDEC data.</w:t>
      </w:r>
    </w:p>
    <w:p>
      <w:pPr>
        <w:numPr>
          <w:ilvl w:val="0"/>
          <w:numId w:val="1002"/>
        </w:numPr>
        <w:pStyle w:val="Compact"/>
      </w:pPr>
      <w:r>
        <w:t xml:space="preserve">All services will be performed by the designated</w:t>
      </w:r>
      <w:r>
        <w:t xml:space="preserve"> </w:t>
      </w:r>
      <w:r>
        <w:t xml:space="preserve">Business Consultant</w:t>
      </w:r>
      <w:r>
        <w:t xml:space="preserve"> </w:t>
      </w:r>
      <w:r>
        <w:t xml:space="preserve">or, with prior written consent of the client, by qualified associates of the firm. The primary consultant will maintain direct oversight of all deliverables.</w:t>
      </w:r>
    </w:p>
    <w:p>
      <w:pPr>
        <w:numPr>
          <w:ilvl w:val="0"/>
          <w:numId w:val="1002"/>
        </w:numPr>
        <w:pStyle w:val="Compact"/>
      </w:pPr>
      <w:r>
        <w:t xml:space="preserve">The</w:t>
      </w:r>
      <w:r>
        <w:t xml:space="preserve"> </w:t>
      </w:r>
      <w:r>
        <w:t xml:space="preserve">Business Consultant</w:t>
      </w:r>
      <w:r>
        <w:t xml:space="preserve"> </w:t>
      </w:r>
      <w:r>
        <w:t xml:space="preserve">shall maintain strict confidentiality over all proprietary information, financial data, and strategic documents shared by the client during the engagement, in accordance with Argentine Law 25.326 on Personal Data Protection.</w:t>
      </w:r>
    </w:p>
    <w:p>
      <w:pPr>
        <w:numPr>
          <w:ilvl w:val="0"/>
          <w:numId w:val="1002"/>
        </w:numPr>
        <w:pStyle w:val="Compact"/>
      </w:pPr>
      <w:r>
        <w:t xml:space="preserve">Travel expenses within the City of Buenos Aires and the Province of Buenos Aires are included. Travel to other Argentine provinces (e.g., Mendoza, Córdoba) is included as noted in Line Item 4. Any additional travel beyond the stated scope will be billed at cost with prior approval.</w:t>
      </w:r>
    </w:p>
    <w:p>
      <w:pPr>
        <w:numPr>
          <w:ilvl w:val="0"/>
          <w:numId w:val="1002"/>
        </w:numPr>
        <w:pStyle w:val="Compact"/>
      </w:pPr>
      <w:r>
        <w:t xml:space="preserve">All deliverables shall be provided in both Spanish and English. The primary working language for on-site meetings in</w:t>
      </w:r>
      <w:r>
        <w:t xml:space="preserve"> </w:t>
      </w:r>
      <w:r>
        <w:t xml:space="preserve">Argentina Buenos Aires</w:t>
      </w:r>
      <w:r>
        <w:t xml:space="preserve"> </w:t>
      </w:r>
      <w:r>
        <w:t xml:space="preserve">shall be Spanish, with English summaries provided within five business days.</w:t>
      </w:r>
    </w:p>
    <w:p>
      <w:pPr>
        <w:numPr>
          <w:ilvl w:val="0"/>
          <w:numId w:val="1002"/>
        </w:numPr>
        <w:pStyle w:val="Compact"/>
      </w:pPr>
      <w:r>
        <w:t xml:space="preserve">Intellectual property in all reports, models, and strategic documents produced under this engagement shall transfer to the client upon full payment. The</w:t>
      </w:r>
      <w:r>
        <w:t xml:space="preserve"> </w:t>
      </w:r>
      <w:r>
        <w:t xml:space="preserve">Business Consultant</w:t>
      </w:r>
      <w:r>
        <w:t xml:space="preserve"> </w:t>
      </w:r>
      <w:r>
        <w:t xml:space="preserve">retains the right to reference the engagement in anonymized case studies.</w:t>
      </w:r>
    </w:p>
    <w:p>
      <w:pPr>
        <w:numPr>
          <w:ilvl w:val="0"/>
          <w:numId w:val="1002"/>
        </w:numPr>
        <w:pStyle w:val="Compact"/>
      </w:pPr>
      <w:r>
        <w:t xml:space="preserve">Either party may terminate the engagement with thirty (30) days’ written notice. In such case, the client shall pay for all services rendered up to the termination date, and the</w:t>
      </w:r>
      <w:r>
        <w:t xml:space="preserve"> </w:t>
      </w:r>
      <w:r>
        <w:t xml:space="preserve">Business Consultant</w:t>
      </w:r>
      <w:r>
        <w:t xml:space="preserve"> </w:t>
      </w:r>
      <w:r>
        <w:t xml:space="preserve">shall deliver all completed work product.</w:t>
      </w:r>
    </w:p>
    <w:p>
      <w:pPr>
        <w:numPr>
          <w:ilvl w:val="0"/>
          <w:numId w:val="1002"/>
        </w:numPr>
        <w:pStyle w:val="Compact"/>
      </w:pPr>
      <w:r>
        <w:t xml:space="preserve">This Quotation Estimate is governed by the laws of the Argentine Republic, with exclusive jurisdiction of the commercial courts of the City of Buenos Aires.</w:t>
      </w:r>
    </w:p>
    <w:p>
      <w:pPr>
        <w:numPr>
          <w:ilvl w:val="0"/>
          <w:numId w:val="1002"/>
        </w:numPr>
        <w:pStyle w:val="Compact"/>
      </w:pPr>
      <w:r>
        <w:t xml:space="preserve">Any disputes arising from this engagement shall first be subject to good-faith mediation before the Buenos Aires Chamber of Commerce before proceeding to litigation.</w:t>
      </w:r>
    </w:p>
    <w:bookmarkEnd w:id="25"/>
    <w:bookmarkStart w:id="26" w:name="acceptance-signatures"/>
    <w:p>
      <w:pPr>
        <w:pStyle w:val="Heading2"/>
      </w:pPr>
      <w:r>
        <w:t xml:space="preserve">6. Acceptance &amp; Signatures</w:t>
      </w:r>
    </w:p>
    <w:p>
      <w:pPr>
        <w:pStyle w:val="FirstParagraph"/>
      </w:pPr>
      <w:r>
        <w:t xml:space="preserve">By signing below, both parties acknowledge and agree to the terms, scope, and pricing outlined in this</w:t>
      </w:r>
      <w:r>
        <w:t xml:space="preserve"> </w:t>
      </w:r>
      <w:r>
        <w:t xml:space="preserve">Quotation Estimate</w:t>
      </w:r>
      <w:r>
        <w:t xml:space="preserve"> </w:t>
      </w:r>
      <w:r>
        <w:t xml:space="preserve">for</w:t>
      </w:r>
      <w:r>
        <w:t xml:space="preserve"> </w:t>
      </w:r>
      <w:r>
        <w:t xml:space="preserve">Business Consultant</w:t>
      </w:r>
      <w:r>
        <w:t xml:space="preserve"> </w:t>
      </w:r>
      <w:r>
        <w:t xml:space="preserve">services to be delivered in</w:t>
      </w:r>
      <w:r>
        <w:t xml:space="preserve"> </w:t>
      </w:r>
      <w:r>
        <w:t xml:space="preserve">Argentina Buenos Aires</w:t>
      </w:r>
      <w:r>
        <w:t xml:space="preserve">.</w:t>
      </w:r>
    </w:p>
    <w:p>
      <w:pPr>
        <w:pStyle w:val="BodyText"/>
      </w:pPr>
      <w:r>
        <w:rPr>
          <w:bCs/>
          <w:b/>
        </w:rPr>
        <w:t xml:space="preserve">For Villanueva &amp; Asociados Consultores</w:t>
      </w:r>
      <w:r>
        <w:br/>
      </w:r>
      <w:r>
        <w:t xml:space="preserve">Andrés M. Villanueva</w:t>
      </w:r>
      <w:r>
        <w:br/>
      </w:r>
      <w:r>
        <w:t xml:space="preserve">Senior Business Consultant</w:t>
      </w:r>
      <w:r>
        <w:br/>
      </w:r>
      <w:r>
        <w:t xml:space="preserve">Mat. Prof. Nº 45.231 — CABA</w:t>
      </w:r>
      <w:r>
        <w:br/>
      </w:r>
      <w:r>
        <w:t xml:space="preserve">Date: _______________</w:t>
      </w:r>
    </w:p>
    <w:p>
      <w:pPr>
        <w:pStyle w:val="BodyText"/>
      </w:pPr>
      <w:r>
        <w:rPr>
          <w:bCs/>
          <w:b/>
        </w:rPr>
        <w:t xml:space="preserve">For Grupo Industrial del Plata S.A.</w:t>
      </w:r>
      <w:r>
        <w:br/>
      </w:r>
      <w:r>
        <w:t xml:space="preserve">Ing. Carolina Régules</w:t>
      </w:r>
      <w:r>
        <w:br/>
      </w:r>
      <w:r>
        <w:t xml:space="preserve">Director of Operations</w:t>
      </w:r>
      <w:r>
        <w:br/>
      </w:r>
      <w:r>
        <w:t xml:space="preserve">CUIT 30-71234567-8</w:t>
      </w:r>
      <w:r>
        <w:br/>
      </w:r>
      <w:r>
        <w:t xml:space="preserve">Date: _______________</w:t>
      </w:r>
    </w:p>
    <w:p>
      <w:pPr>
        <w:pStyle w:val="BodyText"/>
      </w:pPr>
      <w:r>
        <w:t xml:space="preserve">Villanueva &amp; Asociados Consultores — Av. Corrientes 1250, Piso 14, C1043 Buenos Aires, Argentina</w:t>
      </w:r>
      <w:r>
        <w:br/>
      </w:r>
      <w:r>
        <w:t xml:space="preserve">Tel: +54 11 4321-5678  |  Email: info@villanuevaconsultores.com.ar  |  CUIT 30-69876543-2</w:t>
      </w:r>
      <w:r>
        <w:br/>
      </w:r>
      <w:r>
        <w:t xml:space="preserve">This Quotation Estimate is a commercial document and does not constitute a binding contract until countersigned by both parties.</w:t>
      </w:r>
      <w:r>
        <w:br/>
      </w:r>
      <w:r>
        <w:t xml:space="preserve">© 2025 Villanueva &amp; Asociados Consultores.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 Argentina Buenos Aires</dc:title>
  <dc:creator/>
  <dc:language>en</dc:language>
  <cp:keywords/>
  <dcterms:created xsi:type="dcterms:W3CDTF">2026-10-10T02:44:30Z</dcterms:created>
  <dcterms:modified xsi:type="dcterms:W3CDTF">2026-10-10T02:44:30Z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