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rPr>
          <w:bCs/>
          <w:b/>
        </w:rPr>
        <w:t xml:space="preserve">Strategic Advisory &amp; Business Consulting Services</w:t>
      </w:r>
    </w:p>
    <w:p>
      <w:pPr>
        <w:pStyle w:val="BodyText"/>
      </w:pPr>
      <w:r>
        <w:t xml:space="preserve">Prepared for clients operating within the Australia Brisbane metropolitan region</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QTE-BRIS-2025-0472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calendar days)</w:t>
      </w:r>
    </w:p>
    <w:p>
      <w:pPr>
        <w:pStyle w:val="BodyText"/>
      </w:pPr>
      <w:r>
        <w:rPr>
          <w:bCs/>
          <w:b/>
        </w:rPr>
        <w:t xml:space="preserve">Currency:</w:t>
      </w:r>
      <w:r>
        <w:t xml:space="preserve"> </w:t>
      </w:r>
      <w:r>
        <w:t xml:space="preserve">Australian Dollars (AUD)</w:t>
      </w:r>
    </w:p>
    <w:p>
      <w:pPr>
        <w:pStyle w:val="BodyText"/>
      </w:pPr>
      <w:r>
        <w:rPr>
          <w:bCs/>
          <w:b/>
        </w:rPr>
        <w:t xml:space="preserve">Prepared By:</w:t>
      </w:r>
      <w:r>
        <w:t xml:space="preserve"> </w:t>
      </w:r>
      <w:r>
        <w:t xml:space="preserve">Mr. James A. Whitfield, Principal Business Consultant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 Pty Ltd</w:t>
      </w:r>
    </w:p>
    <w:p>
      <w:pPr>
        <w:pStyle w:val="BodyText"/>
      </w:pPr>
      <w:r>
        <w:rPr>
          <w:bCs/>
          <w:b/>
        </w:rPr>
        <w:t xml:space="preserve">ABN:</w:t>
      </w:r>
      <w:r>
        <w:t xml:space="preserve"> </w:t>
      </w:r>
      <w:r>
        <w:t xml:space="preserve">[XX XXX XXX XXX]</w:t>
      </w:r>
    </w:p>
    <w:p>
      <w:pPr>
        <w:pStyle w:val="BodyText"/>
      </w:pPr>
      <w:r>
        <w:rPr>
          <w:bCs/>
          <w:b/>
        </w:rPr>
        <w:t xml:space="preserve">Address:</w:t>
      </w:r>
      <w:r>
        <w:t xml:space="preserve"> </w:t>
      </w:r>
      <w:r>
        <w:t xml:space="preserve">[Street Address], Brisbane, QLD 4000, Australia</w:t>
      </w:r>
    </w:p>
    <w:p>
      <w:pPr>
        <w:pStyle w:val="BodyText"/>
      </w:pPr>
      <w:r>
        <w:rPr>
          <w:bCs/>
          <w:b/>
        </w:rPr>
        <w:t xml:space="preserve">Contact Person:</w:t>
      </w:r>
      <w:r>
        <w:t xml:space="preserve"> </w:t>
      </w:r>
      <w:r>
        <w:t xml:space="preserve">[Name], Director</w:t>
      </w:r>
    </w:p>
    <w:p>
      <w:pPr>
        <w:pStyle w:val="BodyText"/>
      </w:pPr>
      <w:r>
        <w:rPr>
          <w:bCs/>
          <w:b/>
        </w:rPr>
        <w:t xml:space="preserve">Email:</w:t>
      </w:r>
      <w:r>
        <w:t xml:space="preserve"> </w:t>
      </w:r>
      <w:r>
        <w:t xml:space="preserve">[email@company.com.au]</w:t>
      </w:r>
    </w:p>
    <w:p>
      <w:pPr>
        <w:pStyle w:val="BodyText"/>
      </w:pPr>
      <w:r>
        <w:rPr>
          <w:bCs/>
          <w:b/>
        </w:rPr>
        <w:t xml:space="preserve">Phone:</w:t>
      </w:r>
      <w:r>
        <w:t xml:space="preserve"> </w:t>
      </w:r>
      <w:r>
        <w:t xml:space="preserve">[04XX XXX XXX]</w:t>
      </w:r>
    </w:p>
    <w:bookmarkEnd w:id="22"/>
    <w:p>
      <w:pPr>
        <w:pStyle w:val="BodyText"/>
      </w:pPr>
      <w:r>
        <w:t xml:space="preserve">This Quotation Estimate has been prepared specifically for the engagement of a qualified Business Consultant to deliver strategic advisory, operational review, and growth planning services to your organisation based in Australia Brisbane. The following document outlines the full scope of work, associated costs, and commercial terms governing this proposed engagement. All pricing is exclusive of Goods and Services Tax (GST) at the current Australian rate of 10%, which will be applied at the point of invoicing in accordance with the Australian Taxation Office (ATO) regulations.</w:t>
      </w:r>
    </w:p>
    <w:bookmarkStart w:id="23" w:name="scope-of-services"/>
    <w:p>
      <w:pPr>
        <w:pStyle w:val="Heading2"/>
      </w:pPr>
      <w:r>
        <w:t xml:space="preserve">1. Scope of Services</w:t>
      </w:r>
    </w:p>
    <w:p>
      <w:pPr>
        <w:pStyle w:val="FirstParagraph"/>
      </w:pPr>
      <w:r>
        <w:t xml:space="preserve">The Business Consultant engaged under this Quotation Estimate will provide the following services tailored to the unique market conditions, regulatory environment, and competitive landscape of the Australia Brisbane business district: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Subtotal (AUD)</w:t>
            </w:r>
          </w:p>
        </w:tc>
        <w:tc>
          <w:tcPr/>
          <w:p>
            <w:pPr>
              <w:pStyle w:val="Compact"/>
              <w:jc w:val="left"/>
            </w:pPr>
            <w:r>
              <w:t xml:space="preserve">GST (10%)</w:t>
            </w:r>
          </w:p>
        </w:tc>
      </w:tr>
      <w:tr>
        <w:tc>
          <w:tcPr/>
          <w:p>
            <w:pPr>
              <w:pStyle w:val="Compact"/>
              <w:jc w:val="left"/>
            </w:pPr>
            <w:r>
              <w:t xml:space="preserve">1</w:t>
            </w:r>
          </w:p>
        </w:tc>
        <w:tc>
          <w:tcPr/>
          <w:p>
            <w:pPr>
              <w:pStyle w:val="Compact"/>
              <w:jc w:val="left"/>
            </w:pPr>
            <w:r>
              <w:rPr>
                <w:bCs/>
                <w:b/>
              </w:rPr>
              <w:t xml:space="preserve">Strategic Business Review &amp; Diagnostic Assessment</w:t>
            </w:r>
            <w:r>
              <w:t xml:space="preserve"> </w:t>
            </w:r>
            <w:r>
              <w:t xml:space="preserve">– Comprehensive analysis of current operations, market positioning, revenue streams, and competitive threats specific to the Australia Brisbane commercial environment. Includes SWOT analysis, PESTLE framework review, and stakeholder interviews.</w:t>
            </w:r>
          </w:p>
        </w:tc>
        <w:tc>
          <w:tcPr/>
          <w:p>
            <w:pPr>
              <w:pStyle w:val="Compact"/>
              <w:jc w:val="left"/>
            </w:pPr>
            <w:r>
              <w:t xml:space="preserve">2 weeks</w:t>
            </w:r>
          </w:p>
        </w:tc>
        <w:tc>
          <w:tcPr/>
          <w:p>
            <w:pPr>
              <w:pStyle w:val="Compact"/>
              <w:jc w:val="left"/>
            </w:pPr>
            <w:r>
              <w:t xml:space="preserve">$285.00/hr</w:t>
            </w:r>
          </w:p>
        </w:tc>
        <w:tc>
          <w:tcPr/>
          <w:p>
            <w:pPr>
              <w:pStyle w:val="Compact"/>
              <w:jc w:val="left"/>
            </w:pPr>
            <w:r>
              <w:t xml:space="preserve">$4,560.00</w:t>
            </w:r>
          </w:p>
        </w:tc>
        <w:tc>
          <w:tcPr/>
          <w:p>
            <w:pPr>
              <w:pStyle w:val="Compact"/>
              <w:jc w:val="left"/>
            </w:pPr>
            <w:r>
              <w:t xml:space="preserve">$456.00</w:t>
            </w:r>
          </w:p>
        </w:tc>
      </w:tr>
      <w:tr>
        <w:tc>
          <w:tcPr/>
          <w:p>
            <w:pPr>
              <w:pStyle w:val="Compact"/>
              <w:jc w:val="left"/>
            </w:pPr>
            <w:r>
              <w:t xml:space="preserve">2</w:t>
            </w:r>
          </w:p>
        </w:tc>
        <w:tc>
          <w:tcPr/>
          <w:p>
            <w:pPr>
              <w:pStyle w:val="Compact"/>
              <w:jc w:val="left"/>
            </w:pPr>
            <w:r>
              <w:rPr>
                <w:bCs/>
                <w:b/>
              </w:rPr>
              <w:t xml:space="preserve">Operational Efficiency Audit</w:t>
            </w:r>
            <w:r>
              <w:t xml:space="preserve"> </w:t>
            </w:r>
            <w:r>
              <w:t xml:space="preserve">– Detailed examination of internal processes, supply chain logistics, workforce utilisation, and technology infrastructure. The Business Consultant will benchmark performance against industry standards relevant to Queensland-based enterprises.</w:t>
            </w:r>
          </w:p>
        </w:tc>
        <w:tc>
          <w:tcPr/>
          <w:p>
            <w:pPr>
              <w:pStyle w:val="Compact"/>
              <w:jc w:val="left"/>
            </w:pPr>
            <w:r>
              <w:t xml:space="preserve">3 weeks</w:t>
            </w:r>
          </w:p>
        </w:tc>
        <w:tc>
          <w:tcPr/>
          <w:p>
            <w:pPr>
              <w:pStyle w:val="Compact"/>
              <w:jc w:val="left"/>
            </w:pPr>
            <w:r>
              <w:t xml:space="preserve">$285.00/hr</w:t>
            </w:r>
          </w:p>
        </w:tc>
        <w:tc>
          <w:tcPr/>
          <w:p>
            <w:pPr>
              <w:pStyle w:val="Compact"/>
              <w:jc w:val="left"/>
            </w:pPr>
            <w:r>
              <w:t xml:space="preserve">$6,840.00</w:t>
            </w:r>
          </w:p>
        </w:tc>
        <w:tc>
          <w:tcPr/>
          <w:p>
            <w:pPr>
              <w:pStyle w:val="Compact"/>
              <w:jc w:val="left"/>
            </w:pPr>
            <w:r>
              <w:t xml:space="preserve">$684.00</w:t>
            </w:r>
          </w:p>
        </w:tc>
      </w:tr>
      <w:tr>
        <w:tc>
          <w:tcPr/>
          <w:p>
            <w:pPr>
              <w:pStyle w:val="Compact"/>
              <w:jc w:val="left"/>
            </w:pPr>
            <w:r>
              <w:t xml:space="preserve">3</w:t>
            </w:r>
          </w:p>
        </w:tc>
        <w:tc>
          <w:tcPr/>
          <w:p>
            <w:pPr>
              <w:pStyle w:val="Compact"/>
              <w:jc w:val="left"/>
            </w:pPr>
            <w:r>
              <w:rPr>
                <w:bCs/>
                <w:b/>
              </w:rPr>
              <w:t xml:space="preserve">Growth Strategy &amp; Market Expansion Plan</w:t>
            </w:r>
            <w:r>
              <w:t xml:space="preserve"> </w:t>
            </w:r>
            <w:r>
              <w:t xml:space="preserve">– Development of a 12-month strategic roadmap identifying new revenue opportunities, partnership potential, and expansion pathways within the Australia Brisbane metro area and broader South East Queensland region.</w:t>
            </w:r>
          </w:p>
        </w:tc>
        <w:tc>
          <w:tcPr/>
          <w:p>
            <w:pPr>
              <w:pStyle w:val="Compact"/>
              <w:jc w:val="left"/>
            </w:pPr>
            <w:r>
              <w:t xml:space="preserve">4 weeks</w:t>
            </w:r>
          </w:p>
        </w:tc>
        <w:tc>
          <w:tcPr/>
          <w:p>
            <w:pPr>
              <w:pStyle w:val="Compact"/>
              <w:jc w:val="left"/>
            </w:pPr>
            <w:r>
              <w:t xml:space="preserve">$285.00/hr</w:t>
            </w:r>
          </w:p>
        </w:tc>
        <w:tc>
          <w:tcPr/>
          <w:p>
            <w:pPr>
              <w:pStyle w:val="Compact"/>
              <w:jc w:val="left"/>
            </w:pPr>
            <w:r>
              <w:t xml:space="preserve">$9,120.00</w:t>
            </w:r>
          </w:p>
        </w:tc>
        <w:tc>
          <w:tcPr/>
          <w:p>
            <w:pPr>
              <w:pStyle w:val="Compact"/>
              <w:jc w:val="left"/>
            </w:pPr>
            <w:r>
              <w:t xml:space="preserve">$912.00</w:t>
            </w:r>
          </w:p>
        </w:tc>
      </w:tr>
      <w:tr>
        <w:tc>
          <w:tcPr/>
          <w:p>
            <w:pPr>
              <w:pStyle w:val="Compact"/>
              <w:jc w:val="left"/>
            </w:pPr>
            <w:r>
              <w:t xml:space="preserve">4</w:t>
            </w:r>
          </w:p>
        </w:tc>
        <w:tc>
          <w:tcPr/>
          <w:p>
            <w:pPr>
              <w:pStyle w:val="Compact"/>
              <w:jc w:val="left"/>
            </w:pPr>
            <w:r>
              <w:rPr>
                <w:bCs/>
                <w:b/>
              </w:rPr>
              <w:t xml:space="preserve">Financial Modelling &amp; Forecasting</w:t>
            </w:r>
            <w:r>
              <w:t xml:space="preserve"> </w:t>
            </w:r>
            <w:r>
              <w:t xml:space="preserve">– Construction of detailed financial projections, cash flow models, and scenario analyses to support board-level decision-making. Includes sensitivity testing aligned with Australian economic indicators.</w:t>
            </w:r>
          </w:p>
        </w:tc>
        <w:tc>
          <w:tcPr/>
          <w:p>
            <w:pPr>
              <w:pStyle w:val="Compact"/>
              <w:jc w:val="left"/>
            </w:pPr>
            <w:r>
              <w:t xml:space="preserve">2 weeks</w:t>
            </w:r>
          </w:p>
        </w:tc>
        <w:tc>
          <w:tcPr/>
          <w:p>
            <w:pPr>
              <w:pStyle w:val="Compact"/>
              <w:jc w:val="left"/>
            </w:pPr>
            <w:r>
              <w:t xml:space="preserve">$310.00/hr</w:t>
            </w:r>
          </w:p>
        </w:tc>
        <w:tc>
          <w:tcPr/>
          <w:p>
            <w:pPr>
              <w:pStyle w:val="Compact"/>
              <w:jc w:val="left"/>
            </w:pPr>
            <w:r>
              <w:t xml:space="preserve">$4,960.00</w:t>
            </w:r>
          </w:p>
        </w:tc>
        <w:tc>
          <w:tcPr/>
          <w:p>
            <w:pPr>
              <w:pStyle w:val="Compact"/>
              <w:jc w:val="left"/>
            </w:pPr>
            <w:r>
              <w:t xml:space="preserve">$496.00</w:t>
            </w:r>
          </w:p>
        </w:tc>
      </w:tr>
      <w:tr>
        <w:tc>
          <w:tcPr/>
          <w:p>
            <w:pPr>
              <w:pStyle w:val="Compact"/>
              <w:jc w:val="left"/>
            </w:pPr>
            <w:r>
              <w:t xml:space="preserve">5</w:t>
            </w:r>
          </w:p>
        </w:tc>
        <w:tc>
          <w:tcPr/>
          <w:p>
            <w:pPr>
              <w:pStyle w:val="Compact"/>
              <w:jc w:val="left"/>
            </w:pPr>
            <w:r>
              <w:rPr>
                <w:bCs/>
                <w:b/>
              </w:rPr>
              <w:t xml:space="preserve">Implementation Support &amp; Change Management</w:t>
            </w:r>
            <w:r>
              <w:t xml:space="preserve"> </w:t>
            </w:r>
            <w:r>
              <w:t xml:space="preserve">– On-site and remote support during the first 90 days of strategy execution. The Business Consultant will facilitate team workshops, monitor KPIs, and provide weekly progress reporting to senior leadership.</w:t>
            </w:r>
          </w:p>
        </w:tc>
        <w:tc>
          <w:tcPr/>
          <w:p>
            <w:pPr>
              <w:pStyle w:val="Compact"/>
              <w:jc w:val="left"/>
            </w:pPr>
            <w:r>
              <w:t xml:space="preserve">12 weeks</w:t>
            </w:r>
          </w:p>
        </w:tc>
        <w:tc>
          <w:tcPr/>
          <w:p>
            <w:pPr>
              <w:pStyle w:val="Compact"/>
              <w:jc w:val="left"/>
            </w:pPr>
            <w:r>
              <w:t xml:space="preserve">$265.00/hr</w:t>
            </w:r>
          </w:p>
        </w:tc>
        <w:tc>
          <w:tcPr/>
          <w:p>
            <w:pPr>
              <w:pStyle w:val="Compact"/>
              <w:jc w:val="left"/>
            </w:pPr>
            <w:r>
              <w:t xml:space="preserve">$20,400.00</w:t>
            </w:r>
          </w:p>
        </w:tc>
        <w:tc>
          <w:tcPr/>
          <w:p>
            <w:pPr>
              <w:pStyle w:val="Compact"/>
              <w:jc w:val="left"/>
            </w:pPr>
            <w:r>
              <w:t xml:space="preserve">$2,040.00</w:t>
            </w:r>
          </w:p>
        </w:tc>
      </w:tr>
      <w:tr>
        <w:tc>
          <w:tcPr/>
          <w:p>
            <w:pPr>
              <w:pStyle w:val="Compact"/>
              <w:jc w:val="left"/>
            </w:pPr>
            <w:r>
              <w:t xml:space="preserve">6</w:t>
            </w:r>
          </w:p>
        </w:tc>
        <w:tc>
          <w:tcPr/>
          <w:p>
            <w:pPr>
              <w:pStyle w:val="Compact"/>
              <w:jc w:val="left"/>
            </w:pPr>
            <w:r>
              <w:rPr>
                <w:bCs/>
                <w:b/>
              </w:rPr>
              <w:t xml:space="preserve">Regulatory &amp; Compliance Advisory</w:t>
            </w:r>
            <w:r>
              <w:t xml:space="preserve"> </w:t>
            </w:r>
            <w:r>
              <w:t xml:space="preserve">– Guidance on Australian corporate governance obligations, Queensland state regulations, workplace health and safety (WHS) compliance, and industry-specific licensing requirements applicable to operations in Australia Brisbane.</w:t>
            </w:r>
          </w:p>
        </w:tc>
        <w:tc>
          <w:tcPr/>
          <w:p>
            <w:pPr>
              <w:pStyle w:val="Compact"/>
              <w:jc w:val="left"/>
            </w:pPr>
            <w:r>
              <w:t xml:space="preserve">Ongoing (monthly)</w:t>
            </w:r>
          </w:p>
        </w:tc>
        <w:tc>
          <w:tcPr/>
          <w:p>
            <w:pPr>
              <w:pStyle w:val="Compact"/>
              <w:jc w:val="left"/>
            </w:pPr>
            <w:r>
              <w:t xml:space="preserve">$1,850.00/mo</w:t>
            </w:r>
          </w:p>
        </w:tc>
        <w:tc>
          <w:tcPr/>
          <w:p>
            <w:pPr>
              <w:pStyle w:val="Compact"/>
              <w:jc w:val="left"/>
            </w:pPr>
            <w:r>
              <w:t xml:space="preserve">$5,550.00</w:t>
            </w:r>
          </w:p>
        </w:tc>
        <w:tc>
          <w:tcPr/>
          <w:p>
            <w:pPr>
              <w:pStyle w:val="Compact"/>
              <w:jc w:val="left"/>
            </w:pPr>
            <w:r>
              <w:t xml:space="preserve">$555.00</w:t>
            </w:r>
          </w:p>
        </w:tc>
      </w:tr>
      <w:tr>
        <w:tc>
          <w:tcPr>
            <w:gridSpan w:val="4"/>
          </w:tcPr>
          <w:p>
            <w:pPr>
              <w:pStyle w:val="Compact"/>
              <w:jc w:val="left"/>
            </w:pPr>
            <w:r>
              <w:rPr>
                <w:bCs/>
                <w:b/>
              </w:rPr>
              <w:t xml:space="preserve">TOTAL (Excl. GST)</w:t>
            </w:r>
          </w:p>
        </w:tc>
        <w:tc>
          <w:tcPr/>
          <w:p>
            <w:pPr>
              <w:pStyle w:val="Compact"/>
              <w:jc w:val="left"/>
            </w:pPr>
            <w:r>
              <w:rPr>
                <w:bCs/>
                <w:b/>
              </w:rPr>
              <w:t xml:space="preserve">$51,430.00</w:t>
            </w:r>
          </w:p>
        </w:tc>
        <w:tc>
          <w:tcPr/>
          <w:p>
            <w:pPr>
              <w:pStyle w:val="Compact"/>
              <w:jc w:val="left"/>
            </w:pPr>
            <w:r>
              <w:rPr>
                <w:bCs/>
                <w:b/>
              </w:rPr>
              <w:t xml:space="preserve">$5,143.00</w:t>
            </w:r>
          </w:p>
        </w:tc>
      </w:tr>
      <w:tr>
        <w:tc>
          <w:tcPr>
            <w:gridSpan w:val="4"/>
          </w:tcPr>
          <w:p>
            <w:pPr>
              <w:pStyle w:val="Compact"/>
              <w:jc w:val="left"/>
            </w:pPr>
            <w:r>
              <w:rPr>
                <w:bCs/>
                <w:b/>
              </w:rPr>
              <w:t xml:space="preserve">GRAND TOTAL (Incl. GST)</w:t>
            </w:r>
          </w:p>
        </w:tc>
        <w:tc>
          <w:tcPr>
            <w:gridSpan w:val="2"/>
          </w:tcPr>
          <w:p>
            <w:pPr>
              <w:pStyle w:val="Compact"/>
              <w:jc w:val="left"/>
            </w:pPr>
            <w:r>
              <w:rPr>
                <w:bCs/>
                <w:b/>
              </w:rPr>
              <w:t xml:space="preserve">$56,573.00 AUD</w:t>
            </w:r>
          </w:p>
        </w:tc>
      </w:tr>
    </w:tbl>
    <w:bookmarkEnd w:id="23"/>
    <w:bookmarkStart w:id="24" w:name="assumptions-exclusions"/>
    <w:p>
      <w:pPr>
        <w:pStyle w:val="Heading2"/>
      </w:pPr>
      <w:r>
        <w:t xml:space="preserve">2. Assumptions &amp; Exclusions</w:t>
      </w:r>
    </w:p>
    <w:p>
      <w:pPr>
        <w:pStyle w:val="FirstParagraph"/>
      </w:pPr>
      <w:r>
        <w:t xml:space="preserve">This Quotation Estimate is based on the following assumptions. Should any of these conditions change materially, the Business Consultant reserves the right to issue a revised Quotation Estimate:</w:t>
      </w:r>
    </w:p>
    <w:p>
      <w:pPr>
        <w:numPr>
          <w:ilvl w:val="0"/>
          <w:numId w:val="1001"/>
        </w:numPr>
        <w:pStyle w:val="Compact"/>
      </w:pPr>
      <w:r>
        <w:t xml:space="preserve">The client will provide timely access to all relevant financial records, operational data, and key personnel for interviews and workshops.</w:t>
      </w:r>
    </w:p>
    <w:p>
      <w:pPr>
        <w:numPr>
          <w:ilvl w:val="0"/>
          <w:numId w:val="1001"/>
        </w:numPr>
        <w:pStyle w:val="Compact"/>
      </w:pPr>
      <w:r>
        <w:t xml:space="preserve">Travel within the Australia Brisbane metropolitan area (including the CBD, inner suburbs, and the Logan/Moreton Bay corridor) is included. Travel to locations outside this region will be billed at cost plus 15%.</w:t>
      </w:r>
    </w:p>
    <w:p>
      <w:pPr>
        <w:numPr>
          <w:ilvl w:val="0"/>
          <w:numId w:val="1001"/>
        </w:numPr>
        <w:pStyle w:val="Compact"/>
      </w:pPr>
      <w:r>
        <w:t xml:space="preserve">The engagement assumes a standard 40-hour working week. Overtime or after-hours work will be charged at 1.5 times the applicable hourly rate.</w:t>
      </w:r>
    </w:p>
    <w:p>
      <w:pPr>
        <w:numPr>
          <w:ilvl w:val="0"/>
          <w:numId w:val="1001"/>
        </w:numPr>
        <w:pStyle w:val="Compact"/>
      </w:pPr>
      <w:r>
        <w:t xml:space="preserve">Third-party software licences, data acquisition costs, and external specialist referrals (e.g., tax accountants, legal counsel) are excluded from this Quotation Estimate and will be invoiced separately at cost.</w:t>
      </w:r>
    </w:p>
    <w:p>
      <w:pPr>
        <w:numPr>
          <w:ilvl w:val="0"/>
          <w:numId w:val="1001"/>
        </w:numPr>
        <w:pStyle w:val="Compact"/>
      </w:pPr>
      <w:r>
        <w:t xml:space="preserve">All deliverables will be provided in digital format (PDF and editable Word/Excel). Printed materials are not included unless specifically requested.</w:t>
      </w:r>
    </w:p>
    <w:bookmarkEnd w:id="24"/>
    <w:bookmarkStart w:id="25" w:name="payment-terms"/>
    <w:p>
      <w:pPr>
        <w:pStyle w:val="Heading2"/>
      </w:pPr>
      <w:r>
        <w:t xml:space="preserve">3. Payment Terms</w:t>
      </w:r>
    </w:p>
    <w:p>
      <w:pPr>
        <w:numPr>
          <w:ilvl w:val="0"/>
          <w:numId w:val="1002"/>
        </w:numPr>
        <w:pStyle w:val="Compact"/>
      </w:pPr>
      <w:r>
        <w:rPr>
          <w:bCs/>
          <w:b/>
        </w:rPr>
        <w:t xml:space="preserve">Deposit:</w:t>
      </w:r>
      <w:r>
        <w:t xml:space="preserve"> </w:t>
      </w:r>
      <w:r>
        <w:t xml:space="preserve">25% of the total Quotation Estimate value ($14,143.25 incl. GST) is due upon acceptance of this document and prior to commencement of work.</w:t>
      </w:r>
    </w:p>
    <w:p>
      <w:pPr>
        <w:numPr>
          <w:ilvl w:val="0"/>
          <w:numId w:val="1002"/>
        </w:numPr>
        <w:pStyle w:val="Compact"/>
      </w:pPr>
      <w:r>
        <w:rPr>
          <w:bCs/>
          <w:b/>
        </w:rPr>
        <w:t xml:space="preserve">Milestone Payments:</w:t>
      </w:r>
      <w:r>
        <w:t xml:space="preserve"> </w:t>
      </w:r>
      <w:r>
        <w:t xml:space="preserve">40% is due upon delivery of the Strategic Business Review and Growth Strategy documents (approximately Week 6).</w:t>
      </w:r>
    </w:p>
    <w:p>
      <w:pPr>
        <w:numPr>
          <w:ilvl w:val="0"/>
          <w:numId w:val="1002"/>
        </w:numPr>
        <w:pStyle w:val="Compact"/>
      </w:pPr>
      <w:r>
        <w:rPr>
          <w:bCs/>
          <w:b/>
        </w:rPr>
        <w:t xml:space="preserve">Final Payment:</w:t>
      </w:r>
      <w:r>
        <w:t xml:space="preserve"> </w:t>
      </w:r>
      <w:r>
        <w:t xml:space="preserve">The remaining 35% is due upon completion of the Implementation Support phase (approximately Week 22).</w:t>
      </w:r>
    </w:p>
    <w:p>
      <w:pPr>
        <w:numPr>
          <w:ilvl w:val="0"/>
          <w:numId w:val="1002"/>
        </w:numPr>
        <w:pStyle w:val="Compact"/>
      </w:pPr>
      <w:r>
        <w:rPr>
          <w:bCs/>
          <w:b/>
        </w:rPr>
        <w:t xml:space="preserve">Monthly Retainer:</w:t>
      </w:r>
      <w:r>
        <w:t xml:space="preserve"> </w:t>
      </w:r>
      <w:r>
        <w:t xml:space="preserve">The ongoing Regulatory &amp; Compliance Advisory fee of $1,850.00 + GST per month is payable in advance on the first business day of each month.</w:t>
      </w:r>
    </w:p>
    <w:p>
      <w:pPr>
        <w:numPr>
          <w:ilvl w:val="0"/>
          <w:numId w:val="1002"/>
        </w:numPr>
        <w:pStyle w:val="Compact"/>
      </w:pPr>
      <w:r>
        <w:t xml:space="preserve">All invoices are payable within 14 calendar days of the invoice date. Late payments will attract interest at the rate prescribed under the Australian Consumer Law (currently 10% per annum).</w:t>
      </w:r>
    </w:p>
    <w:p>
      <w:pPr>
        <w:numPr>
          <w:ilvl w:val="0"/>
          <w:numId w:val="1002"/>
        </w:numPr>
        <w:pStyle w:val="Compact"/>
      </w:pPr>
      <w:r>
        <w:t xml:space="preserve">Payment is to be made by direct bank transfer (EFT) to the Business Consultant's nominated Australian bank account. Cheque payments are not accepted.</w:t>
      </w:r>
    </w:p>
    <w:bookmarkEnd w:id="25"/>
    <w:bookmarkStart w:id="26" w:name="terms-conditions"/>
    <w:p>
      <w:pPr>
        <w:pStyle w:val="Heading2"/>
      </w:pPr>
      <w:r>
        <w:t xml:space="preserve">4. Terms &amp; Conditions</w:t>
      </w:r>
    </w:p>
    <w:p>
      <w:pPr>
        <w:numPr>
          <w:ilvl w:val="0"/>
          <w:numId w:val="1003"/>
        </w:numPr>
        <w:pStyle w:val="Compact"/>
      </w:pPr>
      <w:r>
        <w:t xml:space="preserve">This Quotation Estimate is valid for 30 calendar days from the date of issue. After this period, pricing and availability are subject to reconfirmation.</w:t>
      </w:r>
    </w:p>
    <w:p>
      <w:pPr>
        <w:numPr>
          <w:ilvl w:val="0"/>
          <w:numId w:val="1003"/>
        </w:numPr>
        <w:pStyle w:val="Compact"/>
      </w:pPr>
      <w:r>
        <w:t xml:space="preserve">The Business Consultant shall maintain professional indemnity insurance with a minimum coverage of AUD $10,000,000, as required under Australian professional services standards.</w:t>
      </w:r>
    </w:p>
    <w:p>
      <w:pPr>
        <w:numPr>
          <w:ilvl w:val="0"/>
          <w:numId w:val="1003"/>
        </w:numPr>
        <w:pStyle w:val="Compact"/>
      </w:pPr>
      <w:r>
        <w:t xml:space="preserve">All work product, reports, and strategic documents produced under this engagement shall become the intellectual property of the client upon full payment of all outstanding invoices.</w:t>
      </w:r>
    </w:p>
    <w:p>
      <w:pPr>
        <w:numPr>
          <w:ilvl w:val="0"/>
          <w:numId w:val="1003"/>
        </w:numPr>
        <w:pStyle w:val="Compact"/>
      </w:pPr>
      <w:r>
        <w:t xml:space="preserve">Confidentiality: The Business Consultant agrees to treat all client information as strictly confidential in accordance with the Privacy Act 1988 (Cth) and applicable Queensland privacy legislation. A separate Non-Disclosure Agreement (NDA) may be executed prior to commencement.</w:t>
      </w:r>
    </w:p>
    <w:p>
      <w:pPr>
        <w:numPr>
          <w:ilvl w:val="0"/>
          <w:numId w:val="1003"/>
        </w:numPr>
        <w:pStyle w:val="Compact"/>
      </w:pPr>
      <w:r>
        <w:t xml:space="preserve">Either party may terminate this engagement with 14 days' written notice. In the event of early termination by the client, all fees for work completed to date plus a 10% cancellation surcharge on the remaining contract value shall be payable.</w:t>
      </w:r>
    </w:p>
    <w:p>
      <w:pPr>
        <w:numPr>
          <w:ilvl w:val="0"/>
          <w:numId w:val="1003"/>
        </w:numPr>
        <w:pStyle w:val="Compact"/>
      </w:pPr>
      <w:r>
        <w:t xml:space="preserve">This Quotation Estimate and the resulting engagement shall be governed by and construed in accordance with the laws of the State of Queensland, Australia. Any disputes shall be subject to the exclusive jurisdiction of the courts of Queensland.</w:t>
      </w:r>
    </w:p>
    <w:p>
      <w:pPr>
        <w:numPr>
          <w:ilvl w:val="0"/>
          <w:numId w:val="1003"/>
        </w:numPr>
        <w:pStyle w:val="Compact"/>
      </w:pPr>
      <w:r>
        <w:t xml:space="preserve">The Business Consultant is an independent contractor and not an employee, agent, or partner of the client. Nothing in this Quotation Estimate creates a partnership or joint venture.</w:t>
      </w:r>
    </w:p>
    <w:bookmarkEnd w:id="26"/>
    <w:bookmarkStart w:id="27" w:name="acceptance"/>
    <w:p>
      <w:pPr>
        <w:pStyle w:val="Heading2"/>
      </w:pPr>
      <w:r>
        <w:t xml:space="preserve">5. Acceptance</w:t>
      </w:r>
    </w:p>
    <w:p>
      <w:pPr>
        <w:pStyle w:val="FirstParagraph"/>
      </w:pPr>
      <w:r>
        <w:t xml:space="preserve">By signing below, the client acknowledges and accepts this Quotation Estimate in full, including all terms, conditions, pricing, and scope of services described herein. The Business Consultant confirms availability to commence the engagement within 10 business days of receipt of the deposit.</w:t>
      </w:r>
    </w:p>
    <w:p>
      <w:pPr>
        <w:pStyle w:val="BodyText"/>
      </w:pPr>
      <w:r>
        <w:rPr>
          <w:bCs/>
          <w:b/>
        </w:rPr>
        <w:t xml:space="preserve">For and on behalf of the Client:</w:t>
      </w:r>
    </w:p>
    <w:p>
      <w:pPr>
        <w:pStyle w:val="BodyText"/>
      </w:pP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and on behalf of the Business Consultant:</w:t>
      </w:r>
    </w:p>
    <w:p>
      <w:pPr>
        <w:pStyle w:val="BodyText"/>
      </w:pPr>
      <w:r>
        <w:br/>
      </w:r>
      <w:r>
        <w:t xml:space="preserve">Name: James A. Whitfield</w:t>
      </w:r>
      <w:r>
        <w:br/>
      </w:r>
      <w:r>
        <w:t xml:space="preserve">Title: Principal Business Consultant</w:t>
      </w:r>
      <w:r>
        <w:br/>
      </w:r>
      <w:r>
        <w:t xml:space="preserve">Date: ______________________________</w:t>
      </w:r>
    </w:p>
    <w:p>
      <w:pPr>
        <w:pStyle w:val="BodyText"/>
      </w:pPr>
      <w:r>
        <w:t xml:space="preserve">Quotation Estimate QTE-BRIS-2025-0472 | Business Consultant Services | Australia Brisbane, QLD 4000</w:t>
      </w:r>
      <w:r>
        <w:br/>
      </w:r>
      <w:r>
        <w:t xml:space="preserve">This document is the property of the issuing Business Consultant and is intended solely for the named client. Unauthorised reproduction or distribution is prohibited.</w:t>
      </w:r>
      <w:r>
        <w:br/>
      </w:r>
      <w:r>
        <w:t xml:space="preserve">ABN: [XX XXX XXX XXX] | ACN: [XXX XXX XXX] | Registered in Australia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Australia Brisbane</dc:title>
  <dc:creator/>
  <dc:language>en</dc:language>
  <cp:keywords/>
  <dcterms:created xsi:type="dcterms:W3CDTF">2026-10-10T07:36:10Z</dcterms:created>
  <dcterms:modified xsi:type="dcterms:W3CDTF">2026-10-10T07:36:10Z</dcterms:modified>
</cp:coreProperties>
</file>

<file path=docProps/custom.xml><?xml version="1.0" encoding="utf-8"?>
<Properties xmlns="http://schemas.openxmlformats.org/officeDocument/2006/custom-properties" xmlns:vt="http://schemas.openxmlformats.org/officeDocument/2006/docPropsVTypes"/>
</file>