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rPr>
          <w:bCs/>
          <w:b/>
        </w:rPr>
        <w:t xml:space="preserve">Strategic Advisory &amp; Business Consulting Services</w:t>
      </w:r>
    </w:p>
    <w:p>
      <w:pPr>
        <w:pStyle w:val="BodyText"/>
      </w:pPr>
      <w:r>
        <w:t xml:space="preserve">Prepared for Clients Operating in</w:t>
      </w:r>
      <w:r>
        <w:t xml:space="preserve"> </w:t>
      </w:r>
      <w:r>
        <w:t xml:space="preserve">China Beijing</w:t>
      </w:r>
    </w:p>
    <w:p>
      <w:pPr>
        <w:pStyle w:val="BodyText"/>
      </w:pPr>
      <w:r>
        <w:t xml:space="preserve">Document Reference: QTE-BJ-2025-0047 | Currency: CNY (Chinese Yuan Renminbi)</w:t>
      </w:r>
    </w:p>
    <w:bookmarkEnd w:id="20"/>
    <w:p>
      <w:pPr>
        <w:pStyle w:val="BodyText"/>
      </w:pPr>
      <w:r>
        <w:rPr>
          <w:bCs/>
          <w:b/>
        </w:rPr>
        <w:t xml:space="preserve">Quotation Estimate No.:</w:t>
      </w:r>
      <w:r>
        <w:t xml:space="preserve"> </w:t>
      </w:r>
      <w:r>
        <w:t xml:space="preserve">QTE-BJ-2025-0047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Meridian Global Consulting Ltd.</w:t>
      </w:r>
      <w:r>
        <w:br/>
      </w:r>
      <w:r>
        <w:rPr>
          <w:bCs/>
          <w:b/>
        </w:rPr>
        <w:t xml:space="preserve">Office:</w:t>
      </w:r>
      <w:r>
        <w:t xml:space="preserve"> </w:t>
      </w:r>
      <w:r>
        <w:t xml:space="preserve">28th Floor, China World Tower, Chaoyang District,</w:t>
      </w:r>
      <w:r>
        <w:t xml:space="preserve"> </w:t>
      </w:r>
      <w:r>
        <w:t xml:space="preserve">China Beijing</w:t>
      </w:r>
      <w:r>
        <w:br/>
      </w:r>
      <w:r>
        <w:rPr>
          <w:bCs/>
          <w:b/>
        </w:rPr>
        <w:t xml:space="preserve">Contact:</w:t>
      </w:r>
      <w:r>
        <w:t xml:space="preserve"> </w:t>
      </w:r>
      <w:r>
        <w:t xml:space="preserve">consulting@meridianglobal.cn | +86 10 8888 6720</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Beijing Horizon Technology Co., Ltd.</w:t>
            </w:r>
          </w:p>
        </w:tc>
      </w:tr>
      <w:tr>
        <w:tc>
          <w:tcPr/>
          <w:p>
            <w:pPr>
              <w:pStyle w:val="Compact"/>
              <w:jc w:val="left"/>
            </w:pPr>
            <w:r>
              <w:rPr>
                <w:bCs/>
                <w:b/>
              </w:rPr>
              <w:t xml:space="preserve">Registered Address:</w:t>
            </w:r>
          </w:p>
        </w:tc>
        <w:tc>
          <w:tcPr/>
          <w:p>
            <w:pPr>
              <w:pStyle w:val="Compact"/>
              <w:jc w:val="left"/>
            </w:pPr>
            <w:r>
              <w:t xml:space="preserve">No. 88 Zhichunlu, Haidian District,</w:t>
            </w:r>
            <w:r>
              <w:t xml:space="preserve"> </w:t>
            </w:r>
            <w:r>
              <w:t xml:space="preserve">China Beijing</w:t>
            </w:r>
            <w:r>
              <w:t xml:space="preserve">, 100089</w:t>
            </w:r>
          </w:p>
        </w:tc>
      </w:tr>
      <w:tr>
        <w:tc>
          <w:tcPr/>
          <w:p>
            <w:pPr>
              <w:pStyle w:val="Compact"/>
              <w:jc w:val="left"/>
            </w:pPr>
            <w:r>
              <w:rPr>
                <w:bCs/>
                <w:b/>
              </w:rPr>
              <w:t xml:space="preserve">Primary Contact:</w:t>
            </w:r>
          </w:p>
        </w:tc>
        <w:tc>
          <w:tcPr/>
          <w:p>
            <w:pPr>
              <w:pStyle w:val="Compact"/>
              <w:jc w:val="left"/>
            </w:pPr>
            <w:r>
              <w:t xml:space="preserve">Mr. Zhang Wei, Chief Executive Officer</w:t>
            </w:r>
          </w:p>
        </w:tc>
      </w:tr>
      <w:tr>
        <w:tc>
          <w:tcPr/>
          <w:p>
            <w:pPr>
              <w:pStyle w:val="Compact"/>
              <w:jc w:val="left"/>
            </w:pPr>
            <w:r>
              <w:rPr>
                <w:bCs/>
                <w:b/>
              </w:rPr>
              <w:t xml:space="preserve">Industry Sector:</w:t>
            </w:r>
          </w:p>
        </w:tc>
        <w:tc>
          <w:tcPr/>
          <w:p>
            <w:pPr>
              <w:pStyle w:val="Compact"/>
              <w:jc w:val="left"/>
            </w:pPr>
            <w:r>
              <w:t xml:space="preserve">Technology &amp; Digital Infrastructure</w:t>
            </w:r>
          </w:p>
        </w:tc>
      </w:tr>
    </w:tbl>
    <w:bookmarkEnd w:id="21"/>
    <w:bookmarkStart w:id="22" w:name="X38c04614c6852dc42671939c78d168ce144be86"/>
    <w:p>
      <w:pPr>
        <w:pStyle w:val="Heading2"/>
      </w:pPr>
      <w:r>
        <w:t xml:space="preserve">2. Scope of Services – Business Consultant Engagement</w:t>
      </w:r>
    </w:p>
    <w:p>
      <w:pPr>
        <w:pStyle w:val="FirstParagraph"/>
      </w:pPr>
      <w:r>
        <w:t xml:space="preserve">This</w:t>
      </w:r>
      <w:r>
        <w:t xml:space="preserve"> </w:t>
      </w:r>
      <w:r>
        <w:t xml:space="preserve">Quotation Estimate</w:t>
      </w:r>
      <w:r>
        <w:t xml:space="preserve"> </w:t>
      </w:r>
      <w:r>
        <w:t xml:space="preserve">outlines the comprehensive professional services to be delivered by our senior</w:t>
      </w:r>
      <w:r>
        <w:t xml:space="preserve"> </w:t>
      </w:r>
      <w:r>
        <w:t xml:space="preserve">Business Consultant</w:t>
      </w:r>
      <w:r>
        <w:t xml:space="preserve"> </w:t>
      </w:r>
      <w:r>
        <w:t xml:space="preserve">team to support the strategic growth, operational optimization, and market expansion objectives of the client within the</w:t>
      </w:r>
      <w:r>
        <w:t xml:space="preserve"> </w:t>
      </w:r>
      <w:r>
        <w:t xml:space="preserve">China Beijing</w:t>
      </w:r>
      <w:r>
        <w:t xml:space="preserve"> </w:t>
      </w:r>
      <w:r>
        <w:t xml:space="preserve">metropolitan region and broader PRC market. The engagement is structured to provide end-to-end advisory capabilities tailored to the unique regulatory, cultural, and competitive landscape of</w:t>
      </w:r>
      <w:r>
        <w:t xml:space="preserve"> </w:t>
      </w:r>
      <w:r>
        <w:t xml:space="preserve">China Beijing</w:t>
      </w:r>
      <w:r>
        <w:t xml:space="preserve">.</w:t>
      </w:r>
    </w:p>
    <w:bookmarkEnd w:id="22"/>
    <w:bookmarkStart w:id="23" w:name="detailed-service-line-items"/>
    <w:p>
      <w:pPr>
        <w:pStyle w:val="Heading2"/>
      </w:pPr>
      <w:r>
        <w:t xml:space="preserve">3. Detailed Service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Strategic Market Entry Assessment for</w:t>
            </w:r>
            <w:r>
              <w:t xml:space="preserve"> </w:t>
            </w:r>
            <w:r>
              <w:t xml:space="preserve">China Beijing</w:t>
            </w:r>
            <w:r>
              <w:t xml:space="preserve"> </w:t>
            </w:r>
            <w:r>
              <w:t xml:space="preserve">– Comprehensive analysis of local market dynamics, competitor positioning, regulatory environment, and consumer behavior specific to the</w:t>
            </w:r>
            <w:r>
              <w:t xml:space="preserve"> </w:t>
            </w:r>
            <w:r>
              <w:t xml:space="preserve">China Beijing</w:t>
            </w:r>
            <w:r>
              <w:t xml:space="preserve"> </w:t>
            </w:r>
            <w:r>
              <w:t xml:space="preserve">tech corridor.</w:t>
            </w:r>
          </w:p>
        </w:tc>
        <w:tc>
          <w:tcPr/>
          <w:p>
            <w:pPr>
              <w:pStyle w:val="Compact"/>
              <w:jc w:val="left"/>
            </w:pPr>
            <w:r>
              <w:t xml:space="preserve">4 weeks</w:t>
            </w:r>
          </w:p>
        </w:tc>
        <w:tc>
          <w:tcPr/>
          <w:p>
            <w:pPr>
              <w:pStyle w:val="Compact"/>
              <w:jc w:val="left"/>
            </w:pPr>
            <w:r>
              <w:t xml:space="preserve">18,500 / day</w:t>
            </w:r>
          </w:p>
        </w:tc>
        <w:tc>
          <w:tcPr/>
          <w:p>
            <w:pPr>
              <w:pStyle w:val="Compact"/>
              <w:jc w:val="left"/>
            </w:pPr>
            <w:r>
              <w:t xml:space="preserve">296,000</w:t>
            </w:r>
          </w:p>
        </w:tc>
      </w:tr>
      <w:tr>
        <w:tc>
          <w:tcPr/>
          <w:p>
            <w:pPr>
              <w:pStyle w:val="Compact"/>
              <w:jc w:val="left"/>
            </w:pPr>
            <w:r>
              <w:t xml:space="preserve">02</w:t>
            </w:r>
          </w:p>
        </w:tc>
        <w:tc>
          <w:tcPr/>
          <w:p>
            <w:pPr>
              <w:pStyle w:val="Compact"/>
              <w:jc w:val="left"/>
            </w:pPr>
            <w:r>
              <w:t xml:space="preserve">Operational Efficiency Audit &amp; Process Redesign – On-site evaluation of existing workflows, supply chain logistics, and internal governance structures at the client's</w:t>
            </w:r>
            <w:r>
              <w:t xml:space="preserve"> </w:t>
            </w:r>
            <w:r>
              <w:t xml:space="preserve">China Beijing</w:t>
            </w:r>
            <w:r>
              <w:t xml:space="preserve"> </w:t>
            </w:r>
            <w:r>
              <w:t xml:space="preserve">headquarters facility.</w:t>
            </w:r>
          </w:p>
        </w:tc>
        <w:tc>
          <w:tcPr/>
          <w:p>
            <w:pPr>
              <w:pStyle w:val="Compact"/>
              <w:jc w:val="left"/>
            </w:pPr>
            <w:r>
              <w:t xml:space="preserve">6 weeks</w:t>
            </w:r>
          </w:p>
        </w:tc>
        <w:tc>
          <w:tcPr/>
          <w:p>
            <w:pPr>
              <w:pStyle w:val="Compact"/>
              <w:jc w:val="left"/>
            </w:pPr>
            <w:r>
              <w:t xml:space="preserve">16,000 / day</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Regulatory Compliance &amp; Licensing Advisory – Guidance on PRC corporate law, foreign investment regulations, data protection mandates (PIPL), and industry-specific permits required for operations in</w:t>
            </w:r>
            <w:r>
              <w:t xml:space="preserve"> </w:t>
            </w:r>
            <w:r>
              <w:t xml:space="preserve">China Beijing</w:t>
            </w:r>
            <w:r>
              <w:t xml:space="preserve">.</w:t>
            </w:r>
          </w:p>
        </w:tc>
        <w:tc>
          <w:tcPr/>
          <w:p>
            <w:pPr>
              <w:pStyle w:val="Compact"/>
              <w:jc w:val="left"/>
            </w:pPr>
            <w:r>
              <w:t xml:space="preserve">3 weeks</w:t>
            </w:r>
          </w:p>
        </w:tc>
        <w:tc>
          <w:tcPr/>
          <w:p>
            <w:pPr>
              <w:pStyle w:val="Compact"/>
              <w:jc w:val="left"/>
            </w:pPr>
            <w:r>
              <w:t xml:space="preserve">22,000 / day</w:t>
            </w:r>
          </w:p>
        </w:tc>
        <w:tc>
          <w:tcPr/>
          <w:p>
            <w:pPr>
              <w:pStyle w:val="Compact"/>
              <w:jc w:val="left"/>
            </w:pPr>
            <w:r>
              <w:t xml:space="preserve">198,000</w:t>
            </w:r>
          </w:p>
        </w:tc>
      </w:tr>
      <w:tr>
        <w:tc>
          <w:tcPr/>
          <w:p>
            <w:pPr>
              <w:pStyle w:val="Compact"/>
              <w:jc w:val="left"/>
            </w:pPr>
            <w:r>
              <w:t xml:space="preserve">04</w:t>
            </w:r>
          </w:p>
        </w:tc>
        <w:tc>
          <w:tcPr/>
          <w:p>
            <w:pPr>
              <w:pStyle w:val="Compact"/>
              <w:jc w:val="left"/>
            </w:pPr>
            <w:r>
              <w:t xml:space="preserve">Talent Acquisition &amp; Organizational Development Consulting – Design of leadership succession plans, performance management frameworks, and recruitment strategies aligned with</w:t>
            </w:r>
            <w:r>
              <w:t xml:space="preserve"> </w:t>
            </w:r>
            <w:r>
              <w:t xml:space="preserve">China Beijing</w:t>
            </w:r>
            <w:r>
              <w:t xml:space="preserve"> </w:t>
            </w:r>
            <w:r>
              <w:t xml:space="preserve">labor market standards.</w:t>
            </w:r>
          </w:p>
        </w:tc>
        <w:tc>
          <w:tcPr/>
          <w:p>
            <w:pPr>
              <w:pStyle w:val="Compact"/>
              <w:jc w:val="left"/>
            </w:pPr>
            <w:r>
              <w:t xml:space="preserve">5 weeks</w:t>
            </w:r>
          </w:p>
        </w:tc>
        <w:tc>
          <w:tcPr/>
          <w:p>
            <w:pPr>
              <w:pStyle w:val="Compact"/>
              <w:jc w:val="left"/>
            </w:pPr>
            <w:r>
              <w:t xml:space="preserve">14,500 / day</w:t>
            </w:r>
          </w:p>
        </w:tc>
        <w:tc>
          <w:tcPr/>
          <w:p>
            <w:pPr>
              <w:pStyle w:val="Compact"/>
              <w:jc w:val="left"/>
            </w:pPr>
            <w:r>
              <w:t xml:space="preserve">362,500</w:t>
            </w:r>
          </w:p>
        </w:tc>
      </w:tr>
      <w:tr>
        <w:tc>
          <w:tcPr/>
          <w:p>
            <w:pPr>
              <w:pStyle w:val="Compact"/>
              <w:jc w:val="left"/>
            </w:pPr>
            <w:r>
              <w:t xml:space="preserve">05</w:t>
            </w:r>
          </w:p>
        </w:tc>
        <w:tc>
          <w:tcPr/>
          <w:p>
            <w:pPr>
              <w:pStyle w:val="Compact"/>
              <w:jc w:val="left"/>
            </w:pPr>
            <w:r>
              <w:t xml:space="preserve">Digital Transformation Roadmap – Development of a 3-year technology adoption strategy incorporating AI integration, cloud infrastructure migration, and e-commerce channel expansion relevant to the</w:t>
            </w:r>
            <w:r>
              <w:t xml:space="preserve"> </w:t>
            </w:r>
            <w:r>
              <w:t xml:space="preserve">China Beijing</w:t>
            </w:r>
            <w:r>
              <w:t xml:space="preserve"> </w:t>
            </w:r>
            <w:r>
              <w:t xml:space="preserve">digital economy.</w:t>
            </w:r>
          </w:p>
        </w:tc>
        <w:tc>
          <w:tcPr/>
          <w:p>
            <w:pPr>
              <w:pStyle w:val="Compact"/>
              <w:jc w:val="left"/>
            </w:pPr>
            <w:r>
              <w:t xml:space="preserve">4 weeks</w:t>
            </w:r>
          </w:p>
        </w:tc>
        <w:tc>
          <w:tcPr/>
          <w:p>
            <w:pPr>
              <w:pStyle w:val="Compact"/>
              <w:jc w:val="left"/>
            </w:pPr>
            <w:r>
              <w:t xml:space="preserve">20,000 / day</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Stakeholder &amp; Government Relations Facilitation – Coordination of meetings with local</w:t>
            </w:r>
            <w:r>
              <w:t xml:space="preserve"> </w:t>
            </w:r>
            <w:r>
              <w:t xml:space="preserve">China Beijing</w:t>
            </w:r>
            <w:r>
              <w:t xml:space="preserve"> </w:t>
            </w:r>
            <w:r>
              <w:t xml:space="preserve">municipal authorities, industry associations, and potential joint-venture partners.</w:t>
            </w:r>
          </w:p>
        </w:tc>
        <w:tc>
          <w:tcPr/>
          <w:p>
            <w:pPr>
              <w:pStyle w:val="Compact"/>
              <w:jc w:val="left"/>
            </w:pPr>
            <w:r>
              <w:t xml:space="preserve">2 weeks</w:t>
            </w:r>
          </w:p>
        </w:tc>
        <w:tc>
          <w:tcPr/>
          <w:p>
            <w:pPr>
              <w:pStyle w:val="Compact"/>
              <w:jc w:val="left"/>
            </w:pPr>
            <w:r>
              <w:t xml:space="preserve">19,000 / day</w:t>
            </w:r>
          </w:p>
        </w:tc>
        <w:tc>
          <w:tcPr/>
          <w:p>
            <w:pPr>
              <w:pStyle w:val="Compact"/>
              <w:jc w:val="left"/>
            </w:pPr>
            <w:r>
              <w:t xml:space="preserve">133,000</w:t>
            </w:r>
          </w:p>
        </w:tc>
      </w:tr>
      <w:tr>
        <w:tc>
          <w:tcPr/>
          <w:p>
            <w:pPr>
              <w:pStyle w:val="Compact"/>
              <w:jc w:val="left"/>
            </w:pPr>
            <w:r>
              <w:t xml:space="preserve">07</w:t>
            </w:r>
          </w:p>
        </w:tc>
        <w:tc>
          <w:tcPr/>
          <w:p>
            <w:pPr>
              <w:pStyle w:val="Compact"/>
              <w:jc w:val="left"/>
            </w:pPr>
            <w:r>
              <w:t xml:space="preserve">Monthly Retainer – Ongoing</w:t>
            </w:r>
            <w:r>
              <w:t xml:space="preserve"> </w:t>
            </w:r>
            <w:r>
              <w:t xml:space="preserve">Business Consultant</w:t>
            </w:r>
            <w:r>
              <w:t xml:space="preserve"> </w:t>
            </w:r>
            <w:r>
              <w:t xml:space="preserve">advisory support, quarterly strategy reviews, and ad-hoc problem resolution for a period of 12 months post-engagement.</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gridSpan w:val="4"/>
          </w:tcPr>
          <w:p>
            <w:pPr>
              <w:pStyle w:val="Compact"/>
              <w:jc w:val="right"/>
            </w:pPr>
            <w:r>
              <w:t xml:space="preserve">Subtotal (CNY):</w:t>
            </w:r>
          </w:p>
        </w:tc>
        <w:tc>
          <w:tcPr/>
          <w:p>
            <w:pPr>
              <w:pStyle w:val="Compact"/>
              <w:jc w:val="left"/>
            </w:pPr>
            <w:r>
              <w:t xml:space="preserve">2,329,500</w:t>
            </w:r>
          </w:p>
        </w:tc>
      </w:tr>
      <w:tr>
        <w:tc>
          <w:tcPr>
            <w:gridSpan w:val="4"/>
          </w:tcPr>
          <w:p>
            <w:pPr>
              <w:pStyle w:val="Compact"/>
              <w:jc w:val="right"/>
            </w:pPr>
            <w:r>
              <w:t xml:space="preserve">Applicable VAT (6%):</w:t>
            </w:r>
          </w:p>
        </w:tc>
        <w:tc>
          <w:tcPr/>
          <w:p>
            <w:pPr>
              <w:pStyle w:val="Compact"/>
              <w:jc w:val="left"/>
            </w:pPr>
            <w:r>
              <w:t xml:space="preserve">139,770</w:t>
            </w:r>
          </w:p>
        </w:tc>
      </w:tr>
      <w:tr>
        <w:tc>
          <w:tcPr>
            <w:gridSpan w:val="4"/>
          </w:tcPr>
          <w:p>
            <w:pPr>
              <w:pStyle w:val="Compact"/>
              <w:jc w:val="right"/>
            </w:pPr>
            <w:r>
              <w:rPr>
                <w:bCs/>
                <w:b/>
              </w:rPr>
              <w:t xml:space="preserve">TOTAL QUOTATION ESTIMATE (CNY):</w:t>
            </w:r>
          </w:p>
        </w:tc>
        <w:tc>
          <w:tcPr/>
          <w:p>
            <w:pPr>
              <w:pStyle w:val="Compact"/>
              <w:jc w:val="left"/>
            </w:pPr>
            <w:r>
              <w:rPr>
                <w:bCs/>
                <w:b/>
              </w:rPr>
              <w:t xml:space="preserve">2,469,270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service terms are subject to revision based on prevailing market conditions in</w:t>
      </w:r>
      <w:r>
        <w:t xml:space="preserve"> </w:t>
      </w:r>
      <w:r>
        <w:t xml:space="preserve">China Beijing</w:t>
      </w:r>
      <w:r>
        <w:t xml:space="preserve">.</w:t>
      </w:r>
    </w:p>
    <w:p>
      <w:pPr>
        <w:pStyle w:val="BodyText"/>
      </w:pPr>
      <w:r>
        <w:rPr>
          <w:bCs/>
          <w:b/>
        </w:rPr>
        <w:t xml:space="preserve">4.2 Payment Schedule:</w:t>
      </w:r>
      <w:r>
        <w:t xml:space="preserve"> </w:t>
      </w:r>
      <w:r>
        <w:t xml:space="preserve">Payment shall be structured as follows: 30% advance upon execution of the service agreement, 40% upon completion of the mid-engagement milestone review, and 30% upon final delivery of all deliverables. The monthly retainer (Item 07) shall be invoiced on the first business day of each calendar month.</w:t>
      </w:r>
    </w:p>
    <w:p>
      <w:pPr>
        <w:pStyle w:val="BodyText"/>
      </w:pPr>
      <w:r>
        <w:rPr>
          <w:bCs/>
          <w:b/>
        </w:rPr>
        <w:t xml:space="preserve">4.3 Currency &amp; Tax:</w:t>
      </w:r>
      <w:r>
        <w:t xml:space="preserve"> </w:t>
      </w:r>
      <w:r>
        <w:t xml:space="preserve">All amounts in this</w:t>
      </w:r>
      <w:r>
        <w:t xml:space="preserve"> </w:t>
      </w:r>
      <w:r>
        <w:t xml:space="preserve">Quotation Estimate</w:t>
      </w:r>
      <w:r>
        <w:t xml:space="preserve"> </w:t>
      </w:r>
      <w:r>
        <w:t xml:space="preserve">are denominated in Chinese Yuan Renminbi (CNY). The 6% Value Added Tax (VAT) is inclusive of all applicable local surcharges in</w:t>
      </w:r>
      <w:r>
        <w:t xml:space="preserve"> </w:t>
      </w:r>
      <w:r>
        <w:t xml:space="preserve">China Beijing</w:t>
      </w:r>
      <w:r>
        <w:t xml:space="preserve">. No additional withholding tax shall apply as the service provider is a PRC-registered entity.</w:t>
      </w:r>
    </w:p>
    <w:p>
      <w:pPr>
        <w:pStyle w:val="BodyText"/>
      </w:pPr>
      <w:r>
        <w:rPr>
          <w:bCs/>
          <w:b/>
        </w:rPr>
        <w:t xml:space="preserve">4.4 Confidentiality:</w:t>
      </w:r>
      <w:r>
        <w:t xml:space="preserve"> </w:t>
      </w:r>
      <w:r>
        <w:t xml:space="preserve">The</w:t>
      </w:r>
      <w:r>
        <w:t xml:space="preserve"> </w:t>
      </w:r>
      <w:r>
        <w:t xml:space="preserve">Business Consultant</w:t>
      </w:r>
      <w:r>
        <w:t xml:space="preserve"> </w:t>
      </w:r>
      <w:r>
        <w:t xml:space="preserve">team shall maintain strict confidentiality over all proprietary information, trade secrets, and strategic data disclosed by the client during the engagement. A mutual Non-Disclosure Agreement (NDA) shall be executed prior to the commencement of any work.</w:t>
      </w:r>
    </w:p>
    <w:p>
      <w:pPr>
        <w:pStyle w:val="BodyText"/>
      </w:pPr>
      <w:r>
        <w:rPr>
          <w:bCs/>
          <w:b/>
        </w:rPr>
        <w:t xml:space="preserve">4.5 Intellectual Property:</w:t>
      </w:r>
      <w:r>
        <w:t xml:space="preserve"> </w:t>
      </w:r>
      <w:r>
        <w:t xml:space="preserve">All reports, frameworks, strategic plans, and deliverables produced under this engagement shall become the exclusive property of the client upon full payment. The</w:t>
      </w:r>
      <w:r>
        <w:t xml:space="preserve"> </w:t>
      </w:r>
      <w:r>
        <w:t xml:space="preserve">Business Consultant</w:t>
      </w:r>
      <w:r>
        <w:t xml:space="preserve"> </w:t>
      </w:r>
      <w:r>
        <w:t xml:space="preserve">retains the right to use anonymized, aggregated insights for internal knowledge development.</w:t>
      </w:r>
    </w:p>
    <w:p>
      <w:pPr>
        <w:pStyle w:val="BodyText"/>
      </w:pPr>
      <w:r>
        <w:rPr>
          <w:bCs/>
          <w:b/>
        </w:rPr>
        <w:t xml:space="preserve">4.6 Force Majeure:</w:t>
      </w:r>
      <w:r>
        <w:t xml:space="preserve"> </w:t>
      </w:r>
      <w:r>
        <w:t xml:space="preserve">Neither party shall be liable for delays or failures in performance resulting from events beyond reasonable control, including but not limited to natural disasters, government policy changes in</w:t>
      </w:r>
      <w:r>
        <w:t xml:space="preserve"> </w:t>
      </w:r>
      <w:r>
        <w:t xml:space="preserve">China Beijing</w:t>
      </w:r>
      <w:r>
        <w:t xml:space="preserve">, epidemics, or civil unrest.</w:t>
      </w:r>
    </w:p>
    <w:p>
      <w:pPr>
        <w:pStyle w:val="BodyText"/>
      </w:pPr>
      <w:r>
        <w:rPr>
          <w:bCs/>
          <w:b/>
        </w:rPr>
        <w:t xml:space="preserve">4.7 Dispute Resolution:</w:t>
      </w:r>
      <w:r>
        <w:t xml:space="preserve"> </w:t>
      </w:r>
      <w:r>
        <w:t xml:space="preserve">Any disputes arising from this</w:t>
      </w:r>
      <w:r>
        <w:t xml:space="preserve"> </w:t>
      </w:r>
      <w:r>
        <w:t xml:space="preserve">Quotation Estimate</w:t>
      </w:r>
      <w:r>
        <w:t xml:space="preserve"> </w:t>
      </w:r>
      <w:r>
        <w:t xml:space="preserve">or the subsequent service agreement shall be resolved through amicable negotiation. Failing resolution within thirty days, the matter shall be submitted to the Beijing Arbitration Commission (BAC) in accordance with its then-current rules of arbitration.</w:t>
      </w:r>
    </w:p>
    <w:p>
      <w:pPr>
        <w:pStyle w:val="BodyText"/>
      </w:pPr>
      <w:r>
        <w:rPr>
          <w:bCs/>
          <w:b/>
        </w:rPr>
        <w:t xml:space="preserve">4.8 Termination:</w:t>
      </w:r>
      <w:r>
        <w:t xml:space="preserve"> </w:t>
      </w:r>
      <w:r>
        <w:t xml:space="preserve">Either party may terminate the engagement with thirty (30) days' written notice. In such event, the client shall be liable for all services rendered up to the termination date, and the</w:t>
      </w:r>
      <w:r>
        <w:t xml:space="preserve"> </w:t>
      </w:r>
      <w:r>
        <w:t xml:space="preserve">Business Consultant</w:t>
      </w:r>
      <w:r>
        <w:t xml:space="preserve"> </w:t>
      </w:r>
      <w:r>
        <w:t xml:space="preserve">shall deliver all completed work products.</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all relevant internal documentation, personnel, and facilities located in</w:t>
      </w:r>
      <w:r>
        <w:t xml:space="preserve"> </w:t>
      </w:r>
      <w:r>
        <w:t xml:space="preserve">China Beijing</w:t>
      </w:r>
      <w:r>
        <w:t xml:space="preserve">. Travel expenses beyond the</w:t>
      </w:r>
      <w:r>
        <w:t xml:space="preserve"> </w:t>
      </w:r>
      <w:r>
        <w:t xml:space="preserve">China Beijing</w:t>
      </w:r>
      <w:r>
        <w:t xml:space="preserve"> </w:t>
      </w:r>
      <w:r>
        <w:t xml:space="preserve">metropolitan area, third-party legal opinions, translation services, and any government filing fees are excluded from the quoted amounts and shall be billed at actual cost with prior written approval.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in its entirety, authorizing the</w:t>
      </w:r>
      <w:r>
        <w:t xml:space="preserve"> </w:t>
      </w:r>
      <w:r>
        <w:t xml:space="preserve">Business Consultant</w:t>
      </w:r>
      <w:r>
        <w:t xml:space="preserve"> </w:t>
      </w:r>
      <w:r>
        <w:t xml:space="preserve">to commence the described services in</w:t>
      </w:r>
      <w:r>
        <w:t xml:space="preserve"> </w:t>
      </w:r>
      <w:r>
        <w:t xml:space="preserve">China Beijing</w:t>
      </w:r>
      <w:r>
        <w:t xml:space="preserve"> </w:t>
      </w:r>
      <w:r>
        <w:t xml:space="preserve">upon receipt of the advance payment. This document, once countersigned by both parties, shall constitute a binding service agreement.</w:t>
      </w:r>
    </w:p>
    <w:p>
      <w:pPr>
        <w:pStyle w:val="BodyText"/>
      </w:pPr>
      <w:r>
        <w:rPr>
          <w:bCs/>
          <w:b/>
        </w:rPr>
        <w:t xml:space="preserve">For and on behalf of the Client:</w:t>
      </w:r>
    </w:p>
    <w:p>
      <w:pPr>
        <w:pStyle w:val="BodyText"/>
      </w:pPr>
      <w:r>
        <w:t xml:space="preserve">Name: _________________________</w:t>
      </w:r>
      <w:r>
        <w:br/>
      </w:r>
      <w:r>
        <w:t xml:space="preserve">Title: Chief Executive Officer</w:t>
      </w:r>
      <w:r>
        <w:br/>
      </w:r>
      <w:r>
        <w:t xml:space="preserve">Signature &amp; Company Seal: _________________________</w:t>
      </w:r>
      <w:r>
        <w:br/>
      </w:r>
      <w:r>
        <w:t xml:space="preserve">Date: _________________________</w:t>
      </w:r>
    </w:p>
    <w:p>
      <w:pPr>
        <w:pStyle w:val="BodyText"/>
      </w:pPr>
      <w:r>
        <w:rPr>
          <w:bCs/>
          <w:b/>
        </w:rPr>
        <w:t xml:space="preserve">For and on behalf of the Business Consultant:</w:t>
      </w:r>
    </w:p>
    <w:p>
      <w:pPr>
        <w:pStyle w:val="BodyText"/>
      </w:pPr>
      <w:r>
        <w:t xml:space="preserve">Name: _________________________</w:t>
      </w:r>
      <w:r>
        <w:br/>
      </w:r>
      <w:r>
        <w:t xml:space="preserve">Title: Managing Director,</w:t>
      </w:r>
      <w:r>
        <w:t xml:space="preserve"> </w:t>
      </w:r>
      <w:r>
        <w:t xml:space="preserve">China Beijing</w:t>
      </w:r>
      <w:r>
        <w:t xml:space="preserve"> </w:t>
      </w:r>
      <w:r>
        <w:t xml:space="preserve">Office</w:t>
      </w:r>
      <w:r>
        <w:br/>
      </w:r>
      <w:r>
        <w:t xml:space="preserve">Signature &amp; Company Seal: _________________________</w:t>
      </w:r>
      <w:r>
        <w:br/>
      </w:r>
      <w:r>
        <w:t xml:space="preserve">Date: _________________________</w:t>
      </w:r>
    </w:p>
    <w:p>
      <w:pPr>
        <w:pStyle w:val="BodyText"/>
      </w:pPr>
      <w:r>
        <w:t xml:space="preserve">Meridian Global Consulting Ltd. | Registered in the People's Republic of China | Unified Social Credit Code: 91110105MA01XXXXXX</w:t>
      </w:r>
    </w:p>
    <w:p>
      <w:pPr>
        <w:pStyle w:val="BodyText"/>
      </w:pPr>
      <w:r>
        <w:t xml:space="preserve">This</w:t>
      </w:r>
      <w:r>
        <w:t xml:space="preserve"> </w:t>
      </w:r>
      <w:r>
        <w:t xml:space="preserve">Quotation Estimate</w:t>
      </w:r>
      <w:r>
        <w:t xml:space="preserve"> </w:t>
      </w:r>
      <w:r>
        <w:t xml:space="preserve">is the property of Meridian Global Consulting Ltd. and is issued exclusively for the named client. Unauthorized reproduction or distribution is prohibited.</w:t>
      </w:r>
    </w:p>
    <w:p>
      <w:pPr>
        <w:pStyle w:val="BodyText"/>
      </w:pPr>
      <w:r>
        <w:t xml:space="preserve">Page 1 of 1 | Generated: 15 June 2025 |</w:t>
      </w:r>
      <w:r>
        <w:t xml:space="preserve"> </w:t>
      </w:r>
      <w:r>
        <w:t xml:space="preserve">China Beijing</w:t>
      </w:r>
      <w:r>
        <w:t xml:space="preserve"> </w:t>
      </w:r>
      <w:r>
        <w:t xml:space="preserve">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China Beijing</dc:title>
  <dc:creator/>
  <dc:language>en</dc:language>
  <cp:keywords/>
  <dcterms:created xsi:type="dcterms:W3CDTF">2026-10-10T04:24:08Z</dcterms:created>
  <dcterms:modified xsi:type="dcterms:W3CDTF">2026-10-10T04:24:08Z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