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Strategic Advisory &amp; Business Consulting Services</w:t>
      </w:r>
    </w:p>
    <w:p>
      <w:pPr>
        <w:pStyle w:val="BodyText"/>
      </w:pPr>
      <w:r>
        <w:t xml:space="preserve">Prepared for clients operating in</w:t>
      </w:r>
      <w:r>
        <w:t xml:space="preserve"> </w:t>
      </w:r>
      <w:r>
        <w:t xml:space="preserve">Colombia Bogotá</w:t>
      </w:r>
    </w:p>
    <w:p>
      <w:pPr>
        <w:pStyle w:val="BodyText"/>
      </w:pPr>
      <w:r>
        <w:t xml:space="preserve">Document Reference: QE-BOG-2025-0472 | Date of Issue: June 15, 2025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QE-BOG-2025-0472</w:t>
            </w:r>
          </w:p>
        </w:tc>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By</w:t>
            </w:r>
          </w:p>
        </w:tc>
        <w:tc>
          <w:tcPr/>
          <w:p>
            <w:pPr>
              <w:pStyle w:val="Compact"/>
              <w:jc w:val="left"/>
            </w:pPr>
            <w:r>
              <w:t xml:space="preserve">Andrés M. Restrepo, Senior Business Consultant</w:t>
            </w:r>
          </w:p>
        </w:tc>
        <w:tc>
          <w:tcPr/>
          <w:p>
            <w:pPr>
              <w:pStyle w:val="Compact"/>
              <w:jc w:val="left"/>
            </w:pPr>
            <w:r>
              <w:t xml:space="preserve">Currency</w:t>
            </w:r>
          </w:p>
        </w:tc>
        <w:tc>
          <w:tcPr/>
          <w:p>
            <w:pPr>
              <w:pStyle w:val="Compact"/>
              <w:jc w:val="left"/>
            </w:pPr>
            <w:r>
              <w:t xml:space="preserve">COP (Colombian Peso) / USD</w:t>
            </w:r>
          </w:p>
        </w:tc>
      </w:tr>
      <w:tr>
        <w:tc>
          <w:tcPr/>
          <w:p>
            <w:pPr>
              <w:pStyle w:val="Compact"/>
              <w:jc w:val="left"/>
            </w:pPr>
            <w:r>
              <w:t xml:space="preserve">Client Name</w:t>
            </w:r>
          </w:p>
        </w:tc>
        <w:tc>
          <w:tcPr/>
          <w:p>
            <w:pPr>
              <w:pStyle w:val="Compact"/>
              <w:jc w:val="left"/>
            </w:pPr>
            <w:r>
              <w:t xml:space="preserve">[Client Company Name]</w:t>
            </w:r>
          </w:p>
        </w:tc>
        <w:tc>
          <w:tcPr/>
          <w:p>
            <w:pPr>
              <w:pStyle w:val="Compact"/>
              <w:jc w:val="left"/>
            </w:pPr>
            <w:r>
              <w:t xml:space="preserve">Service Location</w:t>
            </w:r>
          </w:p>
        </w:tc>
        <w:tc>
          <w:tcPr/>
          <w:p>
            <w:pPr>
              <w:pStyle w:val="Compact"/>
              <w:jc w:val="left"/>
            </w:pPr>
            <w:r>
              <w:t xml:space="preserve">Colombia Bogotá, Cundinamarca</w:t>
            </w:r>
          </w:p>
        </w:tc>
      </w:tr>
      <w:tr>
        <w:tc>
          <w:tcPr/>
          <w:p>
            <w:pPr>
              <w:pStyle w:val="Compact"/>
              <w:jc w:val="left"/>
            </w:pPr>
            <w:r>
              <w:t xml:space="preserve">Client Address</w:t>
            </w:r>
          </w:p>
        </w:tc>
        <w:tc>
          <w:tcPr/>
          <w:p>
            <w:pPr>
              <w:pStyle w:val="Compact"/>
              <w:jc w:val="left"/>
            </w:pPr>
            <w:r>
              <w:t xml:space="preserve">Cra. 15 # 93-45, Piso 12, Zona Rosa, Bogotá D.C., Colombia</w:t>
            </w:r>
          </w:p>
        </w:tc>
        <w:tc>
          <w:tcPr/>
          <w:p>
            <w:pPr>
              <w:pStyle w:val="Compact"/>
              <w:jc w:val="left"/>
            </w:pPr>
            <w:r>
              <w:t xml:space="preserve">NIT / Tax ID</w:t>
            </w:r>
          </w:p>
        </w:tc>
        <w:tc>
          <w:tcPr/>
          <w:p>
            <w:pPr>
              <w:pStyle w:val="Compact"/>
              <w:jc w:val="left"/>
            </w:pPr>
            <w:r>
              <w:t xml:space="preserve">[To be confirmed]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our firm to provide a comprehensive, itemized breakdown of professional fees, deliverables, and associated costs for the engagement of a</w:t>
      </w:r>
      <w:r>
        <w:t xml:space="preserve"> </w:t>
      </w:r>
      <w:r>
        <w:t xml:space="preserve">Business Consultant</w:t>
      </w:r>
      <w:r>
        <w:t xml:space="preserve"> </w:t>
      </w:r>
      <w:r>
        <w:t xml:space="preserve">specializing in organizational strategy, operational efficiency, and market expansion. This document has been specifically tailored for a client entity headquartered and operating within</w:t>
      </w:r>
      <w:r>
        <w:t xml:space="preserve"> </w:t>
      </w:r>
      <w:r>
        <w:t xml:space="preserve">Colombia Bogotá</w:t>
      </w:r>
      <w:r>
        <w:t xml:space="preserve">, taking into account the local regulatory environment, labor market conditions, tax obligations under Colombian law, and the competitive dynamics of the Bogotá metropolitan business district.</w:t>
      </w:r>
    </w:p>
    <w:p>
      <w:pPr>
        <w:pStyle w:val="BodyText"/>
      </w:pPr>
      <w:r>
        <w:t xml:space="preserve">The</w:t>
      </w:r>
      <w:r>
        <w:t xml:space="preserve"> </w:t>
      </w:r>
      <w:r>
        <w:t xml:space="preserve">Business Consultant</w:t>
      </w:r>
      <w:r>
        <w:t xml:space="preserve"> </w:t>
      </w:r>
      <w:r>
        <w:t xml:space="preserve">engaged under this</w:t>
      </w:r>
      <w:r>
        <w:t xml:space="preserve"> </w:t>
      </w:r>
      <w:r>
        <w:t xml:space="preserve">Quotation Estimate</w:t>
      </w:r>
      <w:r>
        <w:t xml:space="preserve"> </w:t>
      </w:r>
      <w:r>
        <w:t xml:space="preserve">will deliver a full-cycle advisory program spanning twelve (12) months, with the primary objective of strengthening the client's strategic positioning, optimizing internal processes, and identifying new revenue streams within the</w:t>
      </w:r>
      <w:r>
        <w:t xml:space="preserve"> </w:t>
      </w:r>
      <w:r>
        <w:t xml:space="preserve">Colombia Bogotá</w:t>
      </w:r>
      <w:r>
        <w:t xml:space="preserve"> </w:t>
      </w:r>
      <w:r>
        <w:t xml:space="preserve">market and beyond. All services described herein comply with the professional standards established by the Colombian Chamber of Commerce and the applicable regulations of the Superintendencia de Sociedades.</w:t>
      </w:r>
    </w:p>
    <w:bookmarkEnd w:id="21"/>
    <w:bookmarkStart w:id="22" w:name="detailed-services-and-fee-schedule"/>
    <w:p>
      <w:pPr>
        <w:pStyle w:val="Heading2"/>
      </w:pPr>
      <w:r>
        <w:t xml:space="preserve">2. Detailed Services and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(COP)</w:t>
            </w:r>
          </w:p>
        </w:tc>
        <w:tc>
          <w:tcPr/>
          <w:p>
            <w:pPr>
              <w:pStyle w:val="Compact"/>
              <w:jc w:val="left"/>
            </w:pPr>
            <w:r>
              <w:t xml:space="preserve">Total (COP)</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Strategic Diagnostic &amp; Organizational Audit</w:t>
            </w:r>
            <w:r>
              <w:t xml:space="preserve"> </w:t>
            </w:r>
            <w:r>
              <w:t xml:space="preserve">– Comprehensive assessment of the client's current business model, SWOT analysis, competitive benchmarking within the Bogotá market, and identification of key performance gaps. Delivered by the lead Business Consultant with a team of two junior analysts.</w:t>
            </w:r>
          </w:p>
        </w:tc>
        <w:tc>
          <w:tcPr/>
          <w:p>
            <w:pPr>
              <w:pStyle w:val="Compact"/>
              <w:jc w:val="left"/>
            </w:pPr>
            <w:r>
              <w:t xml:space="preserve">4 weeks (one-time)</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$4,750</w:t>
            </w:r>
          </w:p>
        </w:tc>
      </w:tr>
      <w:tr>
        <w:tc>
          <w:tcPr/>
          <w:p>
            <w:pPr>
              <w:pStyle w:val="Compact"/>
              <w:jc w:val="left"/>
            </w:pPr>
            <w:r>
              <w:t xml:space="preserve">2</w:t>
            </w:r>
          </w:p>
        </w:tc>
        <w:tc>
          <w:tcPr/>
          <w:p>
            <w:pPr>
              <w:pStyle w:val="Compact"/>
              <w:jc w:val="left"/>
            </w:pPr>
            <w:r>
              <w:rPr>
                <w:bCs/>
                <w:b/>
              </w:rPr>
              <w:t xml:space="preserve">Operational Process Optimization</w:t>
            </w:r>
            <w:r>
              <w:t xml:space="preserve"> </w:t>
            </w:r>
            <w:r>
              <w:t xml:space="preserve">– Redesign of core operational workflows, implementation of lean management principles, and development of KPI dashboards. Includes on-site visits to the client's facilities in Colombia Bogotá (minimum 3 days per month).</w:t>
            </w:r>
          </w:p>
        </w:tc>
        <w:tc>
          <w:tcPr/>
          <w:p>
            <w:pPr>
              <w:pStyle w:val="Compact"/>
              <w:jc w:val="left"/>
            </w:pPr>
            <w:r>
              <w:t xml:space="preserve">6 months (ongoing)</w:t>
            </w:r>
          </w:p>
        </w:tc>
        <w:tc>
          <w:tcPr/>
          <w:p>
            <w:pPr>
              <w:pStyle w:val="Compact"/>
              <w:jc w:val="left"/>
            </w:pPr>
            <w:r>
              <w:t xml:space="preserve">$12,000,000/mo</w:t>
            </w:r>
          </w:p>
        </w:tc>
        <w:tc>
          <w:tcPr/>
          <w:p>
            <w:pPr>
              <w:pStyle w:val="Compact"/>
              <w:jc w:val="left"/>
            </w:pPr>
            <w:r>
              <w:t xml:space="preserve">$72,000,000</w:t>
            </w:r>
          </w:p>
        </w:tc>
        <w:tc>
          <w:tcPr/>
          <w:p>
            <w:pPr>
              <w:pStyle w:val="Compact"/>
              <w:jc w:val="left"/>
            </w:pPr>
            <w:r>
              <w:t xml:space="preserve">$18,300</w:t>
            </w:r>
          </w:p>
        </w:tc>
      </w:tr>
      <w:tr>
        <w:tc>
          <w:tcPr/>
          <w:p>
            <w:pPr>
              <w:pStyle w:val="Compact"/>
              <w:jc w:val="left"/>
            </w:pPr>
            <w:r>
              <w:t xml:space="preserve">3</w:t>
            </w:r>
          </w:p>
        </w:tc>
        <w:tc>
          <w:tcPr/>
          <w:p>
            <w:pPr>
              <w:pStyle w:val="Compact"/>
              <w:jc w:val="left"/>
            </w:pPr>
            <w:r>
              <w:rPr>
                <w:bCs/>
                <w:b/>
              </w:rPr>
              <w:t xml:space="preserve">Market Expansion &amp; Commercial Strategy</w:t>
            </w:r>
            <w:r>
              <w:t xml:space="preserve"> </w:t>
            </w:r>
            <w:r>
              <w:t xml:space="preserve">– Development of a go-to-market plan for new product lines, pricing strategy aligned with Colombian consumer behavior, and partnership identification within the Bogotá business ecosystem.</w:t>
            </w:r>
          </w:p>
        </w:tc>
        <w:tc>
          <w:tcPr/>
          <w:p>
            <w:pPr>
              <w:pStyle w:val="Compact"/>
              <w:jc w:val="left"/>
            </w:pPr>
            <w:r>
              <w:t xml:space="preserve">3 months (one-time)</w:t>
            </w:r>
          </w:p>
        </w:tc>
        <w:tc>
          <w:tcPr/>
          <w:p>
            <w:pPr>
              <w:pStyle w:val="Compact"/>
              <w:jc w:val="left"/>
            </w:pPr>
            <w:r>
              <w:t xml:space="preserve">$22,000,000</w:t>
            </w:r>
          </w:p>
        </w:tc>
        <w:tc>
          <w:tcPr/>
          <w:p>
            <w:pPr>
              <w:pStyle w:val="Compact"/>
              <w:jc w:val="left"/>
            </w:pPr>
            <w:r>
              <w:t xml:space="preserve">$22,000,000</w:t>
            </w:r>
          </w:p>
        </w:tc>
        <w:tc>
          <w:tcPr/>
          <w:p>
            <w:pPr>
              <w:pStyle w:val="Compact"/>
              <w:jc w:val="left"/>
            </w:pPr>
            <w:r>
              <w:t xml:space="preserve">$5,600</w:t>
            </w:r>
          </w:p>
        </w:tc>
      </w:tr>
      <w:tr>
        <w:tc>
          <w:tcPr/>
          <w:p>
            <w:pPr>
              <w:pStyle w:val="Compact"/>
              <w:jc w:val="left"/>
            </w:pPr>
            <w:r>
              <w:t xml:space="preserve">4</w:t>
            </w:r>
          </w:p>
        </w:tc>
        <w:tc>
          <w:tcPr/>
          <w:p>
            <w:pPr>
              <w:pStyle w:val="Compact"/>
              <w:jc w:val="left"/>
            </w:pPr>
            <w:r>
              <w:rPr>
                <w:bCs/>
                <w:b/>
              </w:rPr>
              <w:t xml:space="preserve">Leadership &amp; Team Development Workshops</w:t>
            </w:r>
            <w:r>
              <w:t xml:space="preserve"> </w:t>
            </w:r>
            <w:r>
              <w:t xml:space="preserve">– Facilitation of four (4) executive workshops focused on change management, digital transformation readiness, and cross-functional collaboration. Conducted at the client's offices in Colombia Bogotá.</w:t>
            </w:r>
          </w:p>
        </w:tc>
        <w:tc>
          <w:tcPr/>
          <w:p>
            <w:pPr>
              <w:pStyle w:val="Compact"/>
              <w:jc w:val="left"/>
            </w:pPr>
            <w:r>
              <w:t xml:space="preserve">4 sessions (one-time)</w:t>
            </w:r>
          </w:p>
        </w:tc>
        <w:tc>
          <w:tcPr/>
          <w:p>
            <w:pPr>
              <w:pStyle w:val="Compact"/>
              <w:jc w:val="left"/>
            </w:pPr>
            <w:r>
              <w:t xml:space="preserve">$6,500,000/session</w:t>
            </w:r>
          </w:p>
        </w:tc>
        <w:tc>
          <w:tcPr/>
          <w:p>
            <w:pPr>
              <w:pStyle w:val="Compact"/>
              <w:jc w:val="left"/>
            </w:pPr>
            <w:r>
              <w:t xml:space="preserve">$26,000,000</w:t>
            </w:r>
          </w:p>
        </w:tc>
        <w:tc>
          <w:tcPr/>
          <w:p>
            <w:pPr>
              <w:pStyle w:val="Compact"/>
              <w:jc w:val="left"/>
            </w:pPr>
            <w:r>
              <w:t xml:space="preserve">$6,650</w:t>
            </w:r>
          </w:p>
        </w:tc>
      </w:tr>
      <w:tr>
        <w:tc>
          <w:tcPr/>
          <w:p>
            <w:pPr>
              <w:pStyle w:val="Compact"/>
              <w:jc w:val="left"/>
            </w:pPr>
            <w:r>
              <w:t xml:space="preserve">5</w:t>
            </w:r>
          </w:p>
        </w:tc>
        <w:tc>
          <w:tcPr/>
          <w:p>
            <w:pPr>
              <w:pStyle w:val="Compact"/>
              <w:jc w:val="left"/>
            </w:pPr>
            <w:r>
              <w:rPr>
                <w:bCs/>
                <w:b/>
              </w:rPr>
              <w:t xml:space="preserve">Regulatory &amp; Tax Advisory (Colombia)</w:t>
            </w:r>
            <w:r>
              <w:t xml:space="preserve"> </w:t>
            </w:r>
            <w:r>
              <w:t xml:space="preserve">– Guidance on compliance with DIAN tax obligations, labor law (Código Sustantivo del Trabajo), and corporate governance requirements specific to entities registered in Colombia Bogotá.</w:t>
            </w:r>
          </w:p>
        </w:tc>
        <w:tc>
          <w:tcPr/>
          <w:p>
            <w:pPr>
              <w:pStyle w:val="Compact"/>
              <w:jc w:val="left"/>
            </w:pPr>
            <w:r>
              <w:t xml:space="preserve">12 months (ad-hoc)</w:t>
            </w:r>
          </w:p>
        </w:tc>
        <w:tc>
          <w:tcPr/>
          <w:p>
            <w:pPr>
              <w:pStyle w:val="Compact"/>
              <w:jc w:val="left"/>
            </w:pPr>
            <w:r>
              <w:t xml:space="preserve">$4,500,000/mo</w:t>
            </w:r>
          </w:p>
        </w:tc>
        <w:tc>
          <w:tcPr/>
          <w:p>
            <w:pPr>
              <w:pStyle w:val="Compact"/>
              <w:jc w:val="left"/>
            </w:pPr>
            <w:r>
              <w:t xml:space="preserve">$54,000,000</w:t>
            </w:r>
          </w:p>
        </w:tc>
        <w:tc>
          <w:tcPr/>
          <w:p>
            <w:pPr>
              <w:pStyle w:val="Compact"/>
              <w:jc w:val="left"/>
            </w:pPr>
            <w:r>
              <w:t xml:space="preserve">$13,800</w:t>
            </w:r>
          </w:p>
        </w:tc>
      </w:tr>
      <w:tr>
        <w:tc>
          <w:tcPr/>
          <w:p>
            <w:pPr>
              <w:pStyle w:val="Compact"/>
              <w:jc w:val="left"/>
            </w:pPr>
            <w:r>
              <w:t xml:space="preserve">6</w:t>
            </w:r>
          </w:p>
        </w:tc>
        <w:tc>
          <w:tcPr/>
          <w:p>
            <w:pPr>
              <w:pStyle w:val="Compact"/>
              <w:jc w:val="left"/>
            </w:pPr>
            <w:r>
              <w:rPr>
                <w:bCs/>
                <w:b/>
              </w:rPr>
              <w:t xml:space="preserve">Monthly Reporting &amp; Executive Review Meetings</w:t>
            </w:r>
            <w:r>
              <w:t xml:space="preserve"> </w:t>
            </w:r>
            <w:r>
              <w:t xml:space="preserve">– Preparation of monthly progress reports, variance analysis, and a 90-minute executive review session with the client's board of directors. All reports delivered in both Spanish and English.</w:t>
            </w:r>
          </w:p>
        </w:tc>
        <w:tc>
          <w:tcPr/>
          <w:p>
            <w:pPr>
              <w:pStyle w:val="Compact"/>
              <w:jc w:val="left"/>
            </w:pPr>
            <w:r>
              <w:t xml:space="preserve">12 months (monthly)</w:t>
            </w:r>
          </w:p>
        </w:tc>
        <w:tc>
          <w:tcPr/>
          <w:p>
            <w:pPr>
              <w:pStyle w:val="Compact"/>
              <w:jc w:val="left"/>
            </w:pPr>
            <w:r>
              <w:t xml:space="preserve">$3,200,000/mo</w:t>
            </w:r>
          </w:p>
        </w:tc>
        <w:tc>
          <w:tcPr/>
          <w:p>
            <w:pPr>
              <w:pStyle w:val="Compact"/>
              <w:jc w:val="left"/>
            </w:pPr>
            <w:r>
              <w:t xml:space="preserve">$38,400,000</w:t>
            </w:r>
          </w:p>
        </w:tc>
        <w:tc>
          <w:tcPr/>
          <w:p>
            <w:pPr>
              <w:pStyle w:val="Compact"/>
              <w:jc w:val="left"/>
            </w:pPr>
            <w:r>
              <w:t xml:space="preserve">$9,800</w:t>
            </w:r>
          </w:p>
        </w:tc>
      </w:tr>
      <w:tr>
        <w:tc>
          <w:tcPr/>
          <w:p>
            <w:pPr>
              <w:pStyle w:val="Compact"/>
              <w:jc w:val="left"/>
            </w:pPr>
            <w:r>
              <w:t xml:space="preserve">7</w:t>
            </w:r>
          </w:p>
        </w:tc>
        <w:tc>
          <w:tcPr/>
          <w:p>
            <w:pPr>
              <w:pStyle w:val="Compact"/>
              <w:jc w:val="left"/>
            </w:pPr>
            <w:r>
              <w:rPr>
                <w:bCs/>
                <w:b/>
              </w:rPr>
              <w:t xml:space="preserve">Travel &amp; Local Logistics (Colombia Bogotá)</w:t>
            </w:r>
            <w:r>
              <w:t xml:space="preserve"> </w:t>
            </w:r>
            <w:r>
              <w:t xml:space="preserve">– Coverage of transportation, accommodation, and per diem for the Business Consultant and support team during on-site engagements within the Bogotá metropolitan area and surrounding departments as required.</w:t>
            </w:r>
          </w:p>
        </w:tc>
        <w:tc>
          <w:tcPr/>
          <w:p>
            <w:pPr>
              <w:pStyle w:val="Compact"/>
              <w:jc w:val="left"/>
            </w:pPr>
            <w:r>
              <w:t xml:space="preserve">12 months (as needed)</w:t>
            </w:r>
          </w:p>
        </w:tc>
        <w:tc>
          <w:tcPr/>
          <w:p>
            <w:pPr>
              <w:pStyle w:val="Compact"/>
              <w:jc w:val="left"/>
            </w:pPr>
            <w:r>
              <w:t xml:space="preserve">$2,800,000/mo</w:t>
            </w:r>
          </w:p>
        </w:tc>
        <w:tc>
          <w:tcPr/>
          <w:p>
            <w:pPr>
              <w:pStyle w:val="Compact"/>
              <w:jc w:val="left"/>
            </w:pPr>
            <w:r>
              <w:t xml:space="preserve">$33,600,000</w:t>
            </w:r>
          </w:p>
        </w:tc>
        <w:tc>
          <w:tcPr/>
          <w:p>
            <w:pPr>
              <w:pStyle w:val="Compact"/>
              <w:jc w:val="left"/>
            </w:pPr>
            <w:r>
              <w:t xml:space="preserve">$8,550</w:t>
            </w:r>
          </w:p>
        </w:tc>
      </w:tr>
      <w:tr>
        <w:tc>
          <w:tcPr>
            <w:gridSpan w:val="4"/>
          </w:tcPr>
          <w:p>
            <w:pPr>
              <w:pStyle w:val="Compact"/>
              <w:jc w:val="right"/>
            </w:pPr>
            <w:r>
              <w:t xml:space="preserve">SUBTOTAL (COP)</w:t>
            </w:r>
          </w:p>
        </w:tc>
        <w:tc>
          <w:tcPr/>
          <w:p>
            <w:pPr>
              <w:pStyle w:val="Compact"/>
              <w:jc w:val="left"/>
            </w:pPr>
            <w:r>
              <w:t xml:space="preserve">$264,500,000</w:t>
            </w:r>
          </w:p>
        </w:tc>
        <w:tc>
          <w:tcPr/>
          <w:p>
            <w:pPr>
              <w:pStyle w:val="Compact"/>
              <w:jc w:val="left"/>
            </w:pPr>
            <w:r>
              <w:t xml:space="preserve">$67,450</w:t>
            </w:r>
          </w:p>
        </w:tc>
      </w:tr>
      <w:tr>
        <w:tc>
          <w:tcPr>
            <w:gridSpan w:val="4"/>
          </w:tcPr>
          <w:p>
            <w:pPr>
              <w:pStyle w:val="Compact"/>
              <w:jc w:val="right"/>
            </w:pPr>
            <w:r>
              <w:t xml:space="preserve">VAT (IVA) 19% – Colombia</w:t>
            </w:r>
          </w:p>
        </w:tc>
        <w:tc>
          <w:tcPr/>
          <w:p>
            <w:pPr>
              <w:pStyle w:val="Compact"/>
              <w:jc w:val="left"/>
            </w:pPr>
            <w:r>
              <w:t xml:space="preserve">$50,255,000</w:t>
            </w:r>
          </w:p>
        </w:tc>
        <w:tc>
          <w:tcPr/>
          <w:p>
            <w:pPr>
              <w:pStyle w:val="Compact"/>
              <w:jc w:val="left"/>
            </w:pPr>
            <w:r>
              <w:t xml:space="preserve">$12,816</w:t>
            </w:r>
          </w:p>
        </w:tc>
      </w:tr>
      <w:tr>
        <w:tc>
          <w:tcPr>
            <w:gridSpan w:val="4"/>
          </w:tcPr>
          <w:p>
            <w:pPr>
              <w:pStyle w:val="Compact"/>
              <w:jc w:val="right"/>
            </w:pPr>
            <w:r>
              <w:t xml:space="preserve">GRAND TOTAL (COP)</w:t>
            </w:r>
          </w:p>
        </w:tc>
        <w:tc>
          <w:tcPr/>
          <w:p>
            <w:pPr>
              <w:pStyle w:val="Compact"/>
              <w:jc w:val="left"/>
            </w:pPr>
            <w:r>
              <w:t xml:space="preserve">$314,755,000</w:t>
            </w:r>
          </w:p>
        </w:tc>
        <w:tc>
          <w:tcPr/>
          <w:p>
            <w:pPr>
              <w:pStyle w:val="Compact"/>
              <w:jc w:val="left"/>
            </w:pPr>
            <w:r>
              <w:t xml:space="preserve">$80,266</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all fees are subject to revision based on current market rates in Colombia Bogotá and applicable exchange rate fluctuations.</w:t>
      </w:r>
    </w:p>
    <w:p>
      <w:pPr>
        <w:numPr>
          <w:ilvl w:val="0"/>
          <w:numId w:val="1001"/>
        </w:numPr>
        <w:pStyle w:val="Compact"/>
      </w:pPr>
      <w:r>
        <w:rPr>
          <w:bCs/>
          <w:b/>
        </w:rPr>
        <w:t xml:space="preserve">Payment Schedule:</w:t>
      </w:r>
      <w:r>
        <w:t xml:space="preserve"> </w:t>
      </w:r>
      <w:r>
        <w:t xml:space="preserve">A 30% advance payment is due upon signing of the service agreement. The remaining 70% shall be invoiced monthly in arrears, payable within fifteen (15) business days of invoice receipt via bank transfer to the consulting firm's account in Colombia.</w:t>
      </w:r>
    </w:p>
    <w:p>
      <w:pPr>
        <w:numPr>
          <w:ilvl w:val="0"/>
          <w:numId w:val="1001"/>
        </w:numPr>
        <w:pStyle w:val="Compact"/>
      </w:pPr>
      <w:r>
        <w:rPr>
          <w:bCs/>
          <w:b/>
        </w:rPr>
        <w:t xml:space="preserve">Scope Changes:</w:t>
      </w:r>
      <w:r>
        <w:t xml:space="preserve"> </w:t>
      </w:r>
      <w:r>
        <w:t xml:space="preserve">Any modification to the scope of services outlined in this Quotation Estimate must be agreed upon in writing by both parties. Additional work will be billed at the Business Consultant's standard hourly rate of $850,000 COP per hour (approximately $217 USD).</w:t>
      </w:r>
    </w:p>
    <w:p>
      <w:pPr>
        <w:numPr>
          <w:ilvl w:val="0"/>
          <w:numId w:val="1001"/>
        </w:numPr>
        <w:pStyle w:val="Compact"/>
      </w:pPr>
      <w:r>
        <w:rPr>
          <w:bCs/>
          <w:b/>
        </w:rPr>
        <w:t xml:space="preserve">Confidentiality:</w:t>
      </w:r>
      <w:r>
        <w:t xml:space="preserve"> </w:t>
      </w:r>
      <w:r>
        <w:t xml:space="preserve">The Business Consultant and all supporting personnel are bound by a strict Non-Disclosure Agreement (NDA) in accordance with Colombian data protection law (Ley 1581 de 2012). All client data, financial records, and strategic documents shared during the engagement in Colombia Bogotá shall be treated as strictly confidential.</w:t>
      </w:r>
    </w:p>
    <w:p>
      <w:pPr>
        <w:numPr>
          <w:ilvl w:val="0"/>
          <w:numId w:val="1001"/>
        </w:numPr>
        <w:pStyle w:val="Compact"/>
      </w:pPr>
      <w:r>
        <w:rPr>
          <w:bCs/>
          <w:b/>
        </w:rPr>
        <w:t xml:space="preserve">Intellectual Property:</w:t>
      </w:r>
      <w:r>
        <w:t xml:space="preserve"> </w:t>
      </w:r>
      <w:r>
        <w:t xml:space="preserve">All reports, frameworks, strategic plans, and deliverables produced under this engagement shall become the exclusive property of the client upon full payment of the fees specified in this Quotation Estimate.</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early termination, the client shall be liable for all services rendered up to the termination date plus a 10% administrative fee.</w:t>
      </w:r>
    </w:p>
    <w:p>
      <w:pPr>
        <w:numPr>
          <w:ilvl w:val="0"/>
          <w:numId w:val="1001"/>
        </w:numPr>
        <w:pStyle w:val="Compact"/>
      </w:pPr>
      <w:r>
        <w:rPr>
          <w:bCs/>
          <w:b/>
        </w:rPr>
        <w:t xml:space="preserve">Governing Law:</w:t>
      </w:r>
      <w:r>
        <w:t xml:space="preserve"> </w:t>
      </w:r>
      <w:r>
        <w:t xml:space="preserve">This Quotation Estimate and the resulting service agreement shall be governed by and interpreted in accordance with the commercial laws of the Republic of Colombia. Any disputes shall be resolved through binding arbitration in Bogotá D.C. before the Centro de Arbitraje y Conciliación de la Cámara de Comercio de Bogotá.</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Business Consultant</w:t>
      </w:r>
      <w:r>
        <w:t xml:space="preserve"> </w:t>
      </w:r>
      <w:r>
        <w:t xml:space="preserve">in</w:t>
      </w:r>
      <w:r>
        <w:t xml:space="preserve"> </w:t>
      </w:r>
      <w:r>
        <w:t xml:space="preserve">Colombia Bogotá</w:t>
      </w:r>
      <w:r>
        <w:t xml:space="preserve">. This signature constitutes formal acceptance and authorizes the consulting firm to commence work upon receipt of the advance payment.</w:t>
      </w:r>
    </w:p>
    <w:p>
      <w:pPr>
        <w:pStyle w:val="BodyText"/>
      </w:pPr>
      <w:r>
        <w:rPr>
          <w:bCs/>
          <w:b/>
        </w:rPr>
        <w:t xml:space="preserve">For the Consulting Firm</w:t>
      </w:r>
      <w:r>
        <w:br/>
      </w:r>
      <w:r>
        <w:t xml:space="preserve">Andrés M. Restrepo</w:t>
      </w:r>
      <w:r>
        <w:br/>
      </w:r>
      <w:r>
        <w:t xml:space="preserve">Senior Business Consultant</w:t>
      </w:r>
      <w:r>
        <w:br/>
      </w:r>
      <w:r>
        <w:t xml:space="preserve">Date: _______________</w:t>
      </w:r>
    </w:p>
    <w:p>
      <w:pPr>
        <w:pStyle w:val="BodyText"/>
      </w:pPr>
      <w:r>
        <w:rPr>
          <w:bCs/>
          <w:b/>
        </w:rPr>
        <w:t xml:space="preserve">For the Client</w:t>
      </w:r>
      <w:r>
        <w:br/>
      </w:r>
      <w:r>
        <w:t xml:space="preserve">[Authorized Representative Name]</w:t>
      </w:r>
      <w:r>
        <w:br/>
      </w:r>
      <w:r>
        <w:t xml:space="preserve">[Title / Position]</w:t>
      </w:r>
      <w:r>
        <w:br/>
      </w:r>
      <w:r>
        <w:t xml:space="preserve">Date: _______________</w:t>
      </w:r>
    </w:p>
    <w:p>
      <w:pPr>
        <w:pStyle w:val="BodyText"/>
      </w:pPr>
      <w:r>
        <w:rPr>
          <w:bCs/>
          <w:b/>
        </w:rPr>
        <w:t xml:space="preserve">Important Note:</w:t>
      </w:r>
      <w:r>
        <w:t xml:space="preserve"> </w:t>
      </w:r>
      <w:r>
        <w:t xml:space="preserve">This Quotation Estimate is a non-binding document until both parties execute a formal Service Agreement. All monetary values are expressed in Colombian Pesos (COP) unless otherwise indicated. The USD equivalents are provided for reference only and are based on an indicative exchange rate of 1 USD = 3,920 COP as of the date of issue. The final settlement currency shall be COP. This document is prepared exclusively for the client identified above and may not be reproduced or distributed without prior written consent from the issuing Business Consultant firm.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Colombia Bogotá</dc:title>
  <dc:creator/>
  <dc:language>en</dc:language>
  <cp:keywords/>
  <dcterms:created xsi:type="dcterms:W3CDTF">2026-10-10T03:18:06Z</dcterms:created>
  <dcterms:modified xsi:type="dcterms:W3CDTF">2026-10-10T03:18:06Z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