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rPr>
          <w:bCs/>
          <w:b/>
        </w:rPr>
        <w:t xml:space="preserve">Strategic Advisory &amp; Business Consulting Services</w:t>
      </w:r>
    </w:p>
    <w:p>
      <w:pPr>
        <w:pStyle w:val="BodyText"/>
      </w:pPr>
      <w:r>
        <w:t xml:space="preserve">Prepared for clients operating in</w:t>
      </w:r>
      <w:r>
        <w:t xml:space="preserve"> </w:t>
      </w:r>
      <w:r>
        <w:rPr>
          <w:bCs/>
          <w:b/>
        </w:rPr>
        <w:t xml:space="preserve">Colombia Medellín</w:t>
      </w:r>
    </w:p>
    <w:p>
      <w:pPr>
        <w:pStyle w:val="BodyText"/>
      </w:pPr>
      <w:r>
        <w:t xml:space="preserve">Document Reference: QTE-MDE-2025-0472</w:t>
      </w:r>
    </w:p>
    <w:bookmarkEnd w:id="20"/>
    <w:p>
      <w:pPr>
        <w:pStyle w:val="BodyText"/>
      </w:pPr>
      <w:r>
        <w:rPr>
          <w:bCs/>
          <w:b/>
        </w:rPr>
        <w:t xml:space="preserve">Quotation Date:</w:t>
      </w:r>
      <w:r>
        <w:t xml:space="preserve"> </w:t>
      </w:r>
      <w:r>
        <w:t xml:space="preserve">June 15, 2025</w:t>
      </w:r>
      <w:r>
        <w:br/>
      </w:r>
      <w:r>
        <w:rPr>
          <w:bCs/>
          <w:b/>
        </w:rPr>
        <w:t xml:space="preserve">Valid Until:</w:t>
      </w:r>
      <w:r>
        <w:t xml:space="preserve"> </w:t>
      </w:r>
      <w:r>
        <w:t xml:space="preserve">July 15, 2025</w:t>
      </w:r>
      <w:r>
        <w:br/>
      </w:r>
      <w:r>
        <w:rPr>
          <w:bCs/>
          <w:b/>
        </w:rPr>
        <w:t xml:space="preserve">Currency:</w:t>
      </w:r>
      <w:r>
        <w:t xml:space="preserve"> </w:t>
      </w:r>
      <w:r>
        <w:t xml:space="preserve">Colombian Peso (COP) / USD</w:t>
      </w:r>
    </w:p>
    <w:p>
      <w:pPr>
        <w:pStyle w:val="BodyText"/>
      </w:pPr>
      <w:r>
        <w:rPr>
          <w:bCs/>
          <w:b/>
        </w:rPr>
        <w:t xml:space="preserve">Prepared By:</w:t>
      </w:r>
      <w:r>
        <w:t xml:space="preserve"> </w:t>
      </w:r>
      <w:r>
        <w:t xml:space="preserve">Business Consultant</w:t>
      </w:r>
      <w:r>
        <w:br/>
      </w:r>
      <w:r>
        <w:rPr>
          <w:bCs/>
          <w:b/>
        </w:rPr>
        <w:t xml:space="preserve">Firm:</w:t>
      </w:r>
      <w:r>
        <w:t xml:space="preserve"> </w:t>
      </w:r>
      <w:r>
        <w:t xml:space="preserve">Andes Strategic Consulting S.A.S.</w:t>
      </w:r>
      <w:r>
        <w:br/>
      </w:r>
      <w:r>
        <w:rPr>
          <w:bCs/>
          <w:b/>
        </w:rPr>
        <w:t xml:space="preserve">Location:</w:t>
      </w:r>
      <w:r>
        <w:t xml:space="preserve"> </w:t>
      </w:r>
      <w:r>
        <w:t xml:space="preserve">Medellín, Antioquia, Colombia</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[Client Legal Name] S.A.S.</w:t>
            </w:r>
          </w:p>
        </w:tc>
      </w:tr>
      <w:tr>
        <w:tc>
          <w:tcPr/>
          <w:p>
            <w:pPr>
              <w:pStyle w:val="Compact"/>
              <w:jc w:val="left"/>
            </w:pPr>
            <w:r>
              <w:t xml:space="preserve">NIT / Tax ID</w:t>
            </w:r>
          </w:p>
        </w:tc>
        <w:tc>
          <w:tcPr/>
          <w:p>
            <w:pPr>
              <w:pStyle w:val="Compact"/>
              <w:jc w:val="left"/>
            </w:pPr>
            <w:r>
              <w:t xml:space="preserve">[930.XXX.XXX-X]</w:t>
            </w:r>
          </w:p>
        </w:tc>
      </w:tr>
      <w:tr>
        <w:tc>
          <w:tcPr/>
          <w:p>
            <w:pPr>
              <w:pStyle w:val="Compact"/>
              <w:jc w:val="left"/>
            </w:pPr>
            <w:r>
              <w:t xml:space="preserve">Business Address</w:t>
            </w:r>
          </w:p>
        </w:tc>
        <w:tc>
          <w:tcPr/>
          <w:p>
            <w:pPr>
              <w:pStyle w:val="Compact"/>
              <w:jc w:val="left"/>
            </w:pPr>
            <w:r>
              <w:t xml:space="preserve">[Street, Neighborhood], Medellín, Antioquia, Colombia</w:t>
            </w:r>
          </w:p>
        </w:tc>
      </w:tr>
      <w:tr>
        <w:tc>
          <w:tcPr/>
          <w:p>
            <w:pPr>
              <w:pStyle w:val="Compact"/>
              <w:jc w:val="left"/>
            </w:pPr>
            <w:r>
              <w:t xml:space="preserve">Contact Person</w:t>
            </w:r>
          </w:p>
        </w:tc>
        <w:tc>
          <w:tcPr/>
          <w:p>
            <w:pPr>
              <w:pStyle w:val="Compact"/>
              <w:jc w:val="left"/>
            </w:pPr>
            <w:r>
              <w:t xml:space="preserve">[Full Name], [Title]</w:t>
            </w:r>
          </w:p>
        </w:tc>
      </w:tr>
      <w:tr>
        <w:tc>
          <w:tcPr/>
          <w:p>
            <w:pPr>
              <w:pStyle w:val="Compact"/>
              <w:jc w:val="left"/>
            </w:pPr>
            <w:r>
              <w:t xml:space="preserve">Email / Phone</w:t>
            </w:r>
          </w:p>
        </w:tc>
        <w:tc>
          <w:tcPr/>
          <w:p>
            <w:pPr>
              <w:pStyle w:val="Compact"/>
              <w:jc w:val="left"/>
            </w:pPr>
            <w:r>
              <w:t xml:space="preserve">[email@company.com] / [+57 604 XXX XXXX]</w:t>
            </w:r>
          </w:p>
        </w:tc>
      </w:tr>
    </w:tbl>
    <w:bookmarkEnd w:id="21"/>
    <w:bookmarkStart w:id="22" w:name="X38c04614c6852dc42671939c78d168ce144be86"/>
    <w:p>
      <w:pPr>
        <w:pStyle w:val="Heading2"/>
      </w:pPr>
      <w:r>
        <w:t xml:space="preserve">2. Scope of Services – Business Consultant Engagement</w:t>
      </w:r>
    </w:p>
    <w:p>
      <w:pPr>
        <w:pStyle w:val="FirstParagraph"/>
      </w:pPr>
      <w:r>
        <w:t xml:space="preserve">This</w:t>
      </w:r>
      <w:r>
        <w:t xml:space="preserve"> </w:t>
      </w:r>
      <w:r>
        <w:t xml:space="preserve">Quotation Estimate</w:t>
      </w:r>
      <w:r>
        <w:t xml:space="preserve"> </w:t>
      </w:r>
      <w:r>
        <w:t xml:space="preserve">outlines the professional services to be delivered by our</w:t>
      </w:r>
      <w:r>
        <w:t xml:space="preserve"> </w:t>
      </w:r>
      <w:r>
        <w:t xml:space="preserve">Business Consultant</w:t>
      </w:r>
      <w:r>
        <w:t xml:space="preserve"> </w:t>
      </w:r>
      <w:r>
        <w:t xml:space="preserve">to support the strategic growth, operational efficiency, and market positioning of your organization within the dynamic economic landscape of</w:t>
      </w:r>
      <w:r>
        <w:t xml:space="preserve"> </w:t>
      </w:r>
      <w:r>
        <w:t xml:space="preserve">Colombia Medellín</w:t>
      </w:r>
      <w:r>
        <w:t xml:space="preserve">. The engagement is designed to address the unique challenges and opportunities present in the Antioquia region, leveraging local market intelligence, regulatory knowledge, and established business networks.</w:t>
      </w:r>
    </w:p>
    <w:p>
      <w:pPr>
        <w:pStyle w:val="BodyText"/>
      </w:pPr>
      <w:r>
        <w:t xml:space="preserve">The</w:t>
      </w:r>
      <w:r>
        <w:t xml:space="preserve"> </w:t>
      </w:r>
      <w:r>
        <w:t xml:space="preserve">Business Consultant</w:t>
      </w:r>
      <w:r>
        <w:t xml:space="preserve"> </w:t>
      </w:r>
      <w:r>
        <w:t xml:space="preserve">will provide comprehensive advisory services including but not limited to: organizational restructuring analysis, financial modeling and forecasting, market entry strategy for the Medellín metropolitan area, supply chain optimization, digital transformation roadmap, and compliance guidance aligned with Colombian commercial law and DIAN tax regulations.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Initial Diagnostic &amp; Business Assessment – On-site evaluation at client premises in Medellín</w:t>
            </w:r>
          </w:p>
        </w:tc>
        <w:tc>
          <w:tcPr/>
          <w:p>
            <w:pPr>
              <w:pStyle w:val="Compact"/>
              <w:jc w:val="left"/>
            </w:pPr>
            <w:r>
              <w:t xml:space="preserve">5 days</w:t>
            </w:r>
          </w:p>
        </w:tc>
        <w:tc>
          <w:tcPr/>
          <w:p>
            <w:pPr>
              <w:pStyle w:val="Compact"/>
              <w:jc w:val="left"/>
            </w:pPr>
            <w:r>
              <w:t xml:space="preserve">1,200,000 / day</w:t>
            </w:r>
          </w:p>
        </w:tc>
        <w:tc>
          <w:tcPr/>
          <w:p>
            <w:pPr>
              <w:pStyle w:val="Compact"/>
              <w:jc w:val="left"/>
            </w:pPr>
            <w:r>
              <w:t xml:space="preserve">6,000,000</w:t>
            </w:r>
          </w:p>
        </w:tc>
      </w:tr>
      <w:tr>
        <w:tc>
          <w:tcPr/>
          <w:p>
            <w:pPr>
              <w:pStyle w:val="Compact"/>
              <w:jc w:val="left"/>
            </w:pPr>
            <w:r>
              <w:t xml:space="preserve">02</w:t>
            </w:r>
          </w:p>
        </w:tc>
        <w:tc>
          <w:tcPr/>
          <w:p>
            <w:pPr>
              <w:pStyle w:val="Compact"/>
              <w:jc w:val="left"/>
            </w:pPr>
            <w:r>
              <w:t xml:space="preserve">Strategic Business Plan Development – Tailored for the Colombia Medellín market</w:t>
            </w:r>
          </w:p>
        </w:tc>
        <w:tc>
          <w:tcPr/>
          <w:p>
            <w:pPr>
              <w:pStyle w:val="Compact"/>
              <w:jc w:val="left"/>
            </w:pPr>
            <w:r>
              <w:t xml:space="preserve">15 days</w:t>
            </w:r>
          </w:p>
        </w:tc>
        <w:tc>
          <w:tcPr/>
          <w:p>
            <w:pPr>
              <w:pStyle w:val="Compact"/>
              <w:jc w:val="left"/>
            </w:pPr>
            <w:r>
              <w:t xml:space="preserve">1,500,000 / day</w:t>
            </w:r>
          </w:p>
        </w:tc>
        <w:tc>
          <w:tcPr/>
          <w:p>
            <w:pPr>
              <w:pStyle w:val="Compact"/>
              <w:jc w:val="left"/>
            </w:pPr>
            <w:r>
              <w:t xml:space="preserve">22,500,000</w:t>
            </w:r>
          </w:p>
        </w:tc>
      </w:tr>
      <w:tr>
        <w:tc>
          <w:tcPr/>
          <w:p>
            <w:pPr>
              <w:pStyle w:val="Compact"/>
              <w:jc w:val="left"/>
            </w:pPr>
            <w:r>
              <w:t xml:space="preserve">03</w:t>
            </w:r>
          </w:p>
        </w:tc>
        <w:tc>
          <w:tcPr/>
          <w:p>
            <w:pPr>
              <w:pStyle w:val="Compact"/>
              <w:jc w:val="left"/>
            </w:pPr>
            <w:r>
              <w:t xml:space="preserve">Financial Modeling &amp; Cash Flow Projections (3-year horizon)</w:t>
            </w:r>
          </w:p>
        </w:tc>
        <w:tc>
          <w:tcPr/>
          <w:p>
            <w:pPr>
              <w:pStyle w:val="Compact"/>
              <w:jc w:val="left"/>
            </w:pPr>
            <w:r>
              <w:t xml:space="preserve">10 days</w:t>
            </w:r>
          </w:p>
        </w:tc>
        <w:tc>
          <w:tcPr/>
          <w:p>
            <w:pPr>
              <w:pStyle w:val="Compact"/>
              <w:jc w:val="left"/>
            </w:pPr>
            <w:r>
              <w:t xml:space="preserve">1,400,000 / day</w:t>
            </w:r>
          </w:p>
        </w:tc>
        <w:tc>
          <w:tcPr/>
          <w:p>
            <w:pPr>
              <w:pStyle w:val="Compact"/>
              <w:jc w:val="left"/>
            </w:pPr>
            <w:r>
              <w:t xml:space="preserve">14,000,000</w:t>
            </w:r>
          </w:p>
        </w:tc>
      </w:tr>
      <w:tr>
        <w:tc>
          <w:tcPr/>
          <w:p>
            <w:pPr>
              <w:pStyle w:val="Compact"/>
              <w:jc w:val="left"/>
            </w:pPr>
            <w:r>
              <w:t xml:space="preserve">04</w:t>
            </w:r>
          </w:p>
        </w:tc>
        <w:tc>
          <w:tcPr/>
          <w:p>
            <w:pPr>
              <w:pStyle w:val="Compact"/>
              <w:jc w:val="left"/>
            </w:pPr>
            <w:r>
              <w:t xml:space="preserve">Operational Process Optimization &amp; Lean Implementation</w:t>
            </w:r>
          </w:p>
        </w:tc>
        <w:tc>
          <w:tcPr/>
          <w:p>
            <w:pPr>
              <w:pStyle w:val="Compact"/>
              <w:jc w:val="left"/>
            </w:pPr>
            <w:r>
              <w:t xml:space="preserve">20 days</w:t>
            </w:r>
          </w:p>
        </w:tc>
        <w:tc>
          <w:tcPr/>
          <w:p>
            <w:pPr>
              <w:pStyle w:val="Compact"/>
              <w:jc w:val="left"/>
            </w:pPr>
            <w:r>
              <w:t xml:space="preserve">1,300,000 / day</w:t>
            </w:r>
          </w:p>
        </w:tc>
        <w:tc>
          <w:tcPr/>
          <w:p>
            <w:pPr>
              <w:pStyle w:val="Compact"/>
              <w:jc w:val="left"/>
            </w:pPr>
            <w:r>
              <w:t xml:space="preserve">26,000,000</w:t>
            </w:r>
          </w:p>
        </w:tc>
      </w:tr>
      <w:tr>
        <w:tc>
          <w:tcPr/>
          <w:p>
            <w:pPr>
              <w:pStyle w:val="Compact"/>
              <w:jc w:val="left"/>
            </w:pPr>
            <w:r>
              <w:t xml:space="preserve">05</w:t>
            </w:r>
          </w:p>
        </w:tc>
        <w:tc>
          <w:tcPr/>
          <w:p>
            <w:pPr>
              <w:pStyle w:val="Compact"/>
              <w:jc w:val="left"/>
            </w:pPr>
            <w:r>
              <w:t xml:space="preserve">Market Research &amp; Competitive Analysis – Medellín &amp; Antioquia Region</w:t>
            </w:r>
          </w:p>
        </w:tc>
        <w:tc>
          <w:tcPr/>
          <w:p>
            <w:pPr>
              <w:pStyle w:val="Compact"/>
              <w:jc w:val="left"/>
            </w:pPr>
            <w:r>
              <w:t xml:space="preserve">8 days</w:t>
            </w:r>
          </w:p>
        </w:tc>
        <w:tc>
          <w:tcPr/>
          <w:p>
            <w:pPr>
              <w:pStyle w:val="Compact"/>
              <w:jc w:val="left"/>
            </w:pPr>
            <w:r>
              <w:t xml:space="preserve">1,600,000 / day</w:t>
            </w:r>
          </w:p>
        </w:tc>
        <w:tc>
          <w:tcPr/>
          <w:p>
            <w:pPr>
              <w:pStyle w:val="Compact"/>
              <w:jc w:val="left"/>
            </w:pPr>
            <w:r>
              <w:t xml:space="preserve">12,800,000</w:t>
            </w:r>
          </w:p>
        </w:tc>
      </w:tr>
      <w:tr>
        <w:tc>
          <w:tcPr/>
          <w:p>
            <w:pPr>
              <w:pStyle w:val="Compact"/>
              <w:jc w:val="left"/>
            </w:pPr>
            <w:r>
              <w:t xml:space="preserve">06</w:t>
            </w:r>
          </w:p>
        </w:tc>
        <w:tc>
          <w:tcPr/>
          <w:p>
            <w:pPr>
              <w:pStyle w:val="Compact"/>
              <w:jc w:val="left"/>
            </w:pPr>
            <w:r>
              <w:t xml:space="preserve">Regulatory Compliance &amp; DIAN Tax Advisory Session</w:t>
            </w:r>
          </w:p>
        </w:tc>
        <w:tc>
          <w:tcPr/>
          <w:p>
            <w:pPr>
              <w:pStyle w:val="Compact"/>
              <w:jc w:val="left"/>
            </w:pPr>
            <w:r>
              <w:t xml:space="preserve">4 days</w:t>
            </w:r>
          </w:p>
        </w:tc>
        <w:tc>
          <w:tcPr/>
          <w:p>
            <w:pPr>
              <w:pStyle w:val="Compact"/>
              <w:jc w:val="left"/>
            </w:pPr>
            <w:r>
              <w:t xml:space="preserve">1,800,000 / day</w:t>
            </w:r>
          </w:p>
        </w:tc>
        <w:tc>
          <w:tcPr/>
          <w:p>
            <w:pPr>
              <w:pStyle w:val="Compact"/>
              <w:jc w:val="left"/>
            </w:pPr>
            <w:r>
              <w:t xml:space="preserve">7,200,000</w:t>
            </w:r>
          </w:p>
        </w:tc>
      </w:tr>
      <w:tr>
        <w:tc>
          <w:tcPr/>
          <w:p>
            <w:pPr>
              <w:pStyle w:val="Compact"/>
              <w:jc w:val="left"/>
            </w:pPr>
            <w:r>
              <w:t xml:space="preserve">07</w:t>
            </w:r>
          </w:p>
        </w:tc>
        <w:tc>
          <w:tcPr/>
          <w:p>
            <w:pPr>
              <w:pStyle w:val="Compact"/>
              <w:jc w:val="left"/>
            </w:pPr>
            <w:r>
              <w:t xml:space="preserve">Digital Transformation Roadmap &amp; Technology Audit</w:t>
            </w:r>
          </w:p>
        </w:tc>
        <w:tc>
          <w:tcPr/>
          <w:p>
            <w:pPr>
              <w:pStyle w:val="Compact"/>
              <w:jc w:val="left"/>
            </w:pPr>
            <w:r>
              <w:t xml:space="preserve">12 days</w:t>
            </w:r>
          </w:p>
        </w:tc>
        <w:tc>
          <w:tcPr/>
          <w:p>
            <w:pPr>
              <w:pStyle w:val="Compact"/>
              <w:jc w:val="left"/>
            </w:pPr>
            <w:r>
              <w:t xml:space="preserve">1,500,000 / day</w:t>
            </w:r>
          </w:p>
        </w:tc>
        <w:tc>
          <w:tcPr/>
          <w:p>
            <w:pPr>
              <w:pStyle w:val="Compact"/>
              <w:jc w:val="left"/>
            </w:pPr>
            <w:r>
              <w:t xml:space="preserve">18,000,000</w:t>
            </w:r>
          </w:p>
        </w:tc>
      </w:tr>
      <w:tr>
        <w:tc>
          <w:tcPr/>
          <w:p>
            <w:pPr>
              <w:pStyle w:val="Compact"/>
              <w:jc w:val="left"/>
            </w:pPr>
            <w:r>
              <w:t xml:space="preserve">08</w:t>
            </w:r>
          </w:p>
        </w:tc>
        <w:tc>
          <w:tcPr/>
          <w:p>
            <w:pPr>
              <w:pStyle w:val="Compact"/>
              <w:jc w:val="left"/>
            </w:pPr>
            <w:r>
              <w:t xml:space="preserve">Executive Training &amp; Leadership Development Workshops (4 sessions)</w:t>
            </w:r>
          </w:p>
        </w:tc>
        <w:tc>
          <w:tcPr/>
          <w:p>
            <w:pPr>
              <w:pStyle w:val="Compact"/>
              <w:jc w:val="left"/>
            </w:pPr>
            <w:r>
              <w:t xml:space="preserve">4 days</w:t>
            </w:r>
          </w:p>
        </w:tc>
        <w:tc>
          <w:tcPr/>
          <w:p>
            <w:pPr>
              <w:pStyle w:val="Compact"/>
              <w:jc w:val="left"/>
            </w:pPr>
            <w:r>
              <w:t xml:space="preserve">2,000,000 / day</w:t>
            </w:r>
          </w:p>
        </w:tc>
        <w:tc>
          <w:tcPr/>
          <w:p>
            <w:pPr>
              <w:pStyle w:val="Compact"/>
              <w:jc w:val="left"/>
            </w:pPr>
            <w:r>
              <w:t xml:space="preserve">8,000,000</w:t>
            </w:r>
          </w:p>
        </w:tc>
      </w:tr>
      <w:tr>
        <w:tc>
          <w:tcPr/>
          <w:p>
            <w:pPr>
              <w:pStyle w:val="Compact"/>
              <w:jc w:val="left"/>
            </w:pPr>
            <w:r>
              <w:t xml:space="preserve">09</w:t>
            </w:r>
          </w:p>
        </w:tc>
        <w:tc>
          <w:tcPr/>
          <w:p>
            <w:pPr>
              <w:pStyle w:val="Compact"/>
              <w:jc w:val="left"/>
            </w:pPr>
            <w:r>
              <w:t xml:space="preserve">Monthly Ongoing Advisory &amp; Performance Monitoring (3 months)</w:t>
            </w:r>
          </w:p>
        </w:tc>
        <w:tc>
          <w:tcPr/>
          <w:p>
            <w:pPr>
              <w:pStyle w:val="Compact"/>
              <w:jc w:val="left"/>
            </w:pPr>
            <w:r>
              <w:t xml:space="preserve">90 days</w:t>
            </w:r>
          </w:p>
        </w:tc>
        <w:tc>
          <w:tcPr/>
          <w:p>
            <w:pPr>
              <w:pStyle w:val="Compact"/>
              <w:jc w:val="left"/>
            </w:pPr>
            <w:r>
              <w:t xml:space="preserve">800,000 / month</w:t>
            </w:r>
          </w:p>
        </w:tc>
        <w:tc>
          <w:tcPr/>
          <w:p>
            <w:pPr>
              <w:pStyle w:val="Compact"/>
              <w:jc w:val="left"/>
            </w:pPr>
            <w:r>
              <w:t xml:space="preserve">2,400,000</w:t>
            </w:r>
          </w:p>
        </w:tc>
      </w:tr>
      <w:tr>
        <w:tc>
          <w:tcPr/>
          <w:p>
            <w:pPr>
              <w:pStyle w:val="Compact"/>
              <w:jc w:val="left"/>
            </w:pPr>
            <w:r>
              <w:t xml:space="preserve">10</w:t>
            </w:r>
          </w:p>
        </w:tc>
        <w:tc>
          <w:tcPr/>
          <w:p>
            <w:pPr>
              <w:pStyle w:val="Compact"/>
              <w:jc w:val="left"/>
            </w:pPr>
            <w:r>
              <w:t xml:space="preserve">Travel, Logistics &amp; Local Transportation within Medellín Metro Area</w:t>
            </w:r>
          </w:p>
        </w:tc>
        <w:tc>
          <w:tcPr/>
          <w:p>
            <w:pPr>
              <w:pStyle w:val="Compact"/>
              <w:jc w:val="left"/>
            </w:pPr>
            <w:r>
              <w:t xml:space="preserve">Project duration</w:t>
            </w:r>
          </w:p>
        </w:tc>
        <w:tc>
          <w:tcPr/>
          <w:p>
            <w:pPr>
              <w:pStyle w:val="Compact"/>
              <w:jc w:val="left"/>
            </w:pPr>
            <w:r>
              <w:t xml:space="preserve">Flat fee</w:t>
            </w:r>
          </w:p>
        </w:tc>
        <w:tc>
          <w:tcPr/>
          <w:p>
            <w:pPr>
              <w:pStyle w:val="Compact"/>
              <w:jc w:val="left"/>
            </w:pPr>
            <w:r>
              <w:t xml:space="preserve">3,500,000</w:t>
            </w:r>
          </w:p>
        </w:tc>
      </w:tr>
      <w:tr>
        <w:tc>
          <w:tcPr>
            <w:gridSpan w:val="4"/>
          </w:tcPr>
          <w:p>
            <w:pPr>
              <w:pStyle w:val="Compact"/>
              <w:jc w:val="left"/>
            </w:pPr>
            <w:r>
              <w:t xml:space="preserve">TOTAL ESTIMATED INVESTMENT (COP)</w:t>
            </w:r>
          </w:p>
        </w:tc>
        <w:tc>
          <w:tcPr/>
          <w:p>
            <w:pPr>
              <w:pStyle w:val="Compact"/>
              <w:jc w:val="left"/>
            </w:pPr>
            <w:r>
              <w:t xml:space="preserve">120,400,000</w:t>
            </w:r>
          </w:p>
        </w:tc>
      </w:tr>
      <w:tr>
        <w:tc>
          <w:tcPr>
            <w:gridSpan w:val="4"/>
          </w:tcPr>
          <w:p>
            <w:pPr>
              <w:pStyle w:val="Compact"/>
              <w:jc w:val="left"/>
            </w:pPr>
            <w:r>
              <w:t xml:space="preserve">TOTAL ESTIMATED INVESTMENT (USD – approx. at 4,100 COP/USD)</w:t>
            </w:r>
          </w:p>
        </w:tc>
        <w:tc>
          <w:tcPr/>
          <w:p>
            <w:pPr>
              <w:pStyle w:val="Compact"/>
              <w:jc w:val="left"/>
            </w:pPr>
            <w:r>
              <w:t xml:space="preserve">~29,366 USD</w:t>
            </w:r>
          </w:p>
        </w:tc>
      </w:tr>
    </w:tbl>
    <w:bookmarkEnd w:id="23"/>
    <w:bookmarkStart w:id="24" w:name="terms-and-conditions"/>
    <w:p>
      <w:pPr>
        <w:pStyle w:val="Heading2"/>
      </w:pPr>
      <w:r>
        <w:t xml:space="preserve">4. Terms and Conditions</w:t>
      </w:r>
    </w:p>
    <w:p>
      <w:pPr>
        <w:pStyle w:val="FirstParagraph"/>
      </w:pPr>
      <w:r>
        <w:rPr>
          <w:bCs/>
          <w:b/>
        </w:rPr>
        <w:t xml:space="preserve">4.1 Validity:</w:t>
      </w:r>
      <w:r>
        <w:t xml:space="preserve"> </w:t>
      </w:r>
      <w:r>
        <w:t xml:space="preserve">This Quotation Estimate is valid for thirty (30) calendar days from the date of issue. After this period, the Business Consultant reserves the right to revise pricing due to market fluctuations in Colombia Medellín or changes in scope.</w:t>
      </w:r>
    </w:p>
    <w:p>
      <w:pPr>
        <w:pStyle w:val="BodyText"/>
      </w:pPr>
      <w:r>
        <w:rPr>
          <w:bCs/>
          <w:b/>
        </w:rPr>
        <w:t xml:space="preserve">4.2 Payment Schedule:</w:t>
      </w:r>
      <w:r>
        <w:t xml:space="preserve"> </w:t>
      </w:r>
      <w:r>
        <w:t xml:space="preserve">30% advance upon contract signing, 40% upon completion of the Strategic Business Plan (Item 02), and 30% upon final delivery of all deliverables. All payments shall be made via bank transfer to the firm's account in Medellín, Antioquia.</w:t>
      </w:r>
    </w:p>
    <w:p>
      <w:pPr>
        <w:pStyle w:val="BodyText"/>
      </w:pPr>
      <w:r>
        <w:rPr>
          <w:bCs/>
          <w:b/>
        </w:rPr>
        <w:t xml:space="preserve">4.3 Taxes:</w:t>
      </w:r>
      <w:r>
        <w:t xml:space="preserve"> </w:t>
      </w:r>
      <w:r>
        <w:t xml:space="preserve">All amounts are subject to applicable Colombian VAT (IVA) of 19% unless the client qualifies for exemption under Colombian tax law. The Business Consultant will issue proper electronic invoices (factura electrónica) compliant with DIAN regulations.</w:t>
      </w:r>
    </w:p>
    <w:p>
      <w:pPr>
        <w:pStyle w:val="BodyText"/>
      </w:pPr>
      <w:r>
        <w:rPr>
          <w:bCs/>
          <w:b/>
        </w:rPr>
        <w:t xml:space="preserve">4.4 Confidentiality:</w:t>
      </w:r>
      <w:r>
        <w:t xml:space="preserve"> </w:t>
      </w:r>
      <w:r>
        <w:t xml:space="preserve">The Business Consultant agrees to maintain strict confidentiality over all proprietary information, trade secrets, and business data shared during the engagement in Colombia Medellín. A mutual Non-Disclosure Agreement (NDA) shall be executed prior to commencement.</w:t>
      </w:r>
    </w:p>
    <w:p>
      <w:pPr>
        <w:pStyle w:val="BodyText"/>
      </w:pPr>
      <w:r>
        <w:rPr>
          <w:bCs/>
          <w:b/>
        </w:rPr>
        <w:t xml:space="preserve">4.5 Intellectual Property:</w:t>
      </w:r>
      <w:r>
        <w:t xml:space="preserve"> </w:t>
      </w:r>
      <w:r>
        <w:t xml:space="preserve">All reports, strategies, models, and deliverables produced by the Business Consultant shall become the exclusive property of the client upon full payment.</w:t>
      </w:r>
    </w:p>
    <w:p>
      <w:pPr>
        <w:pStyle w:val="BodyText"/>
      </w:pPr>
      <w:r>
        <w:rPr>
          <w:bCs/>
          <w:b/>
        </w:rPr>
        <w:t xml:space="preserve">4.6 Cancellation:</w:t>
      </w:r>
      <w:r>
        <w:t xml:space="preserve"> </w:t>
      </w:r>
      <w:r>
        <w:t xml:space="preserve">Either party may terminate the engagement with fifteen (15) business days written notice. In such case, the Business Consultant shall be compensated for all work completed up to the termination date.</w:t>
      </w:r>
    </w:p>
    <w:p>
      <w:pPr>
        <w:pStyle w:val="BodyText"/>
      </w:pPr>
      <w:r>
        <w:rPr>
          <w:bCs/>
          <w:b/>
        </w:rPr>
        <w:t xml:space="preserve">4.7 Governing Law:</w:t>
      </w:r>
      <w:r>
        <w:t xml:space="preserve"> </w:t>
      </w:r>
      <w:r>
        <w:t xml:space="preserve">This Quotation Estimate and the resulting contract shall be governed by the commercial laws of the Republic of Colombia. Any disputes shall be resolved through the commercial courts of Medellín, Antioquia.</w:t>
      </w:r>
    </w:p>
    <w:bookmarkEnd w:id="24"/>
    <w:bookmarkStart w:id="25" w:name="deliverables-summary"/>
    <w:p>
      <w:pPr>
        <w:pStyle w:val="Heading2"/>
      </w:pPr>
      <w:r>
        <w:t xml:space="preserve">5. Deliverables Summary</w:t>
      </w:r>
    </w:p>
    <w:p>
      <w:pPr>
        <w:pStyle w:val="FirstParagraph"/>
      </w:pPr>
      <w:r>
        <w:t xml:space="preserve">Upon successful completion of the engagement, the Business Consultant will deliver the following to the client in Medellín:</w:t>
      </w:r>
    </w:p>
    <w:p>
      <w:pPr>
        <w:pStyle w:val="BodyText"/>
      </w:pPr>
      <w:r>
        <w:t xml:space="preserve">(a) Comprehensive Business Diagnostic Report; (b) Three-Year Strategic Business Plan; (c) Financial Model with Sensitivity Analysis; (d) Operational Excellence Playbook; (e) Market Intelligence Dossier for the Antioquia region; (f) Regulatory Compliance Checklist; (g) Digital Transformation Roadmap; (h) Executive Training Materials and Certificates; (i) Monthly Performance Dashboards; (j) Final Project Closure Report with Recommendations.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the</w:t>
      </w:r>
      <w:r>
        <w:t xml:space="preserve"> </w:t>
      </w:r>
      <w:r>
        <w:t xml:space="preserve">Business Consultant</w:t>
      </w:r>
      <w:r>
        <w:t xml:space="preserve"> </w:t>
      </w:r>
      <w:r>
        <w:t xml:space="preserve">to proceed with the services described herein for operations in</w:t>
      </w:r>
      <w:r>
        <w:t xml:space="preserve"> </w:t>
      </w:r>
      <w:r>
        <w:t xml:space="preserve">Colombia Medellín</w:t>
      </w:r>
      <w:r>
        <w:t xml:space="preserve">. This signature constitutes a binding commitment to the terms, conditions, and pricing outlined in this document.</w:t>
      </w:r>
    </w:p>
    <w:p>
      <w:pPr>
        <w:pStyle w:val="BodyText"/>
      </w:pPr>
      <w:r>
        <w:rPr>
          <w:bCs/>
          <w:b/>
        </w:rPr>
        <w:t xml:space="preserve">Client Representative</w:t>
      </w:r>
      <w:r>
        <w:br/>
      </w:r>
      <w:r>
        <w:t xml:space="preserve">Name / NIT / Date / Signature</w:t>
      </w:r>
    </w:p>
    <w:p>
      <w:pPr>
        <w:pStyle w:val="BodyText"/>
      </w:pPr>
      <w:r>
        <w:rPr>
          <w:bCs/>
          <w:b/>
        </w:rPr>
        <w:t xml:space="preserve">Business Consultant – Andes Strategic Consulting S.A.S.</w:t>
      </w:r>
      <w:r>
        <w:br/>
      </w:r>
      <w:r>
        <w:t xml:space="preserve">Name / NIT / Date / Signature</w:t>
      </w:r>
    </w:p>
    <w:p>
      <w:pPr>
        <w:pStyle w:val="BodyText"/>
      </w:pPr>
      <w:r>
        <w:t xml:space="preserve">Andes Strategic Consulting S.A.S. | NIT: 901.XXX.XXX-X | RUC: Active</w:t>
      </w:r>
      <w:r>
        <w:br/>
      </w:r>
      <w:r>
        <w:t xml:space="preserve">Calle 43 # 43A-15, El Poblado, Medellín, Antioquia, Colombia</w:t>
      </w:r>
      <w:r>
        <w:br/>
      </w:r>
      <w:r>
        <w:t xml:space="preserve">Phone: +57 604 444 5566 | Email: info@andesconsulting.co</w:t>
      </w:r>
      <w:r>
        <w:br/>
      </w:r>
      <w:r>
        <w:t xml:space="preserve">This Quotation Estimate is a commercial document and does not constitute a binding contract until countersigned by both parties.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Colombia Medellín</dc:title>
  <dc:creator/>
  <dc:language>en</dc:language>
  <cp:keywords/>
  <dcterms:created xsi:type="dcterms:W3CDTF">2026-10-10T02:44:54Z</dcterms:created>
  <dcterms:modified xsi:type="dcterms:W3CDTF">2026-10-10T02:44:54Z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