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Egypt</w:t>
      </w:r>
      <w:r>
        <w:t xml:space="preserve"> </w:t>
      </w:r>
      <w:r>
        <w:t xml:space="preserve">Alexandria</w:t>
      </w:r>
    </w:p>
    <w:bookmarkStart w:id="20" w:name="alexandria-strategic-advisory-group"/>
    <w:p>
      <w:pPr>
        <w:pStyle w:val="Heading1"/>
      </w:pPr>
      <w:r>
        <w:t xml:space="preserve">Alexandria Strategic Advisory Group</w:t>
      </w:r>
    </w:p>
    <w:p>
      <w:pPr>
        <w:pStyle w:val="FirstParagraph"/>
      </w:pPr>
      <w:r>
        <w:t xml:space="preserve">Business Consultant Services | Egypt Alexandria</w:t>
      </w:r>
    </w:p>
    <w:p>
      <w:pPr>
        <w:pStyle w:val="BodyText"/>
      </w:pPr>
      <w:r>
        <w:t xml:space="preserve">12 Corniche El-Nil Street, Smouha District, Alexandria, Egypt 21543</w:t>
      </w:r>
    </w:p>
    <w:p>
      <w:pPr>
        <w:pStyle w:val="BodyText"/>
      </w:pPr>
      <w:r>
        <w:t xml:space="preserve">Tel: +20 3 555 1234 | Email: info@alexstrategicadvisory.com | CR: 184729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QTE-2025-ALE-0472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Mahmoud El-Sayed, Senior Business Consultant</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Nile Delta Trading &amp; Logistics Co.</w:t>
      </w:r>
    </w:p>
    <w:p>
      <w:pPr>
        <w:pStyle w:val="BodyText"/>
      </w:pPr>
      <w:r>
        <w:rPr>
          <w:bCs/>
          <w:b/>
        </w:rPr>
        <w:t xml:space="preserve">Address:</w:t>
      </w:r>
      <w:r>
        <w:t xml:space="preserve"> </w:t>
      </w:r>
      <w:r>
        <w:t xml:space="preserve">45 Port Said Road, East Alexandria, Egypt</w:t>
      </w:r>
    </w:p>
    <w:p>
      <w:pPr>
        <w:pStyle w:val="BodyText"/>
      </w:pPr>
      <w:r>
        <w:rPr>
          <w:bCs/>
          <w:b/>
        </w:rPr>
        <w:t xml:space="preserve">Contact Person:</w:t>
      </w:r>
      <w:r>
        <w:t xml:space="preserve"> </w:t>
      </w:r>
      <w:r>
        <w:t xml:space="preserve">Mr. Ahmed Hassan, Managing Director</w:t>
      </w:r>
    </w:p>
    <w:p>
      <w:pPr>
        <w:pStyle w:val="BodyText"/>
      </w:pPr>
      <w:r>
        <w:rPr>
          <w:bCs/>
          <w:b/>
        </w:rPr>
        <w:t xml:space="preserve">Email:</w:t>
      </w:r>
      <w:r>
        <w:t xml:space="preserve"> </w:t>
      </w:r>
      <w:r>
        <w:t xml:space="preserve">a.hassan@niledeltatradegroup.com</w:t>
      </w:r>
    </w:p>
    <w:bookmarkEnd w:id="22"/>
    <w:p>
      <w:pPr>
        <w:pStyle w:val="BodyText"/>
      </w:pPr>
      <w:r>
        <w:t xml:space="preserve">Dear Mr. Ahmed Hassan,</w:t>
      </w:r>
    </w:p>
    <w:p>
      <w:pPr>
        <w:pStyle w:val="BodyText"/>
      </w:pPr>
      <w:r>
        <w:t xml:space="preserve">Thank you for engaging</w:t>
      </w:r>
      <w:r>
        <w:t xml:space="preserve"> </w:t>
      </w:r>
      <w:r>
        <w:rPr>
          <w:bCs/>
          <w:b/>
        </w:rPr>
        <w:t xml:space="preserve">Alexandria Strategic Advisory Group</w:t>
      </w:r>
      <w:r>
        <w:t xml:space="preserve"> </w:t>
      </w:r>
      <w:r>
        <w:t xml:space="preserve">to prepare this</w:t>
      </w:r>
      <w:r>
        <w:t xml:space="preserve"> </w:t>
      </w:r>
      <w:r>
        <w:rPr>
          <w:bCs/>
          <w:b/>
        </w:rPr>
        <w:t xml:space="preserve">Quotation Estimate</w:t>
      </w:r>
      <w:r>
        <w:t xml:space="preserve"> </w:t>
      </w:r>
      <w:r>
        <w:t xml:space="preserve">for comprehensive</w:t>
      </w:r>
      <w:r>
        <w:t xml:space="preserve"> </w:t>
      </w:r>
      <w:r>
        <w:rPr>
          <w:bCs/>
          <w:b/>
        </w:rPr>
        <w:t xml:space="preserve">Business Consultant</w:t>
      </w:r>
      <w:r>
        <w:t xml:space="preserve"> </w:t>
      </w:r>
      <w:r>
        <w:t xml:space="preserve">services tailored to your operations in</w:t>
      </w:r>
      <w:r>
        <w:t xml:space="preserve"> </w:t>
      </w:r>
      <w:r>
        <w:rPr>
          <w:bCs/>
          <w:b/>
        </w:rPr>
        <w:t xml:space="preserve">Egypt Alexandria</w:t>
      </w:r>
      <w:r>
        <w:t xml:space="preserve">. After our initial discovery meeting held on 28 May 2025 at your offices in East Alexandria, our team has developed the following detailed scope of work and cost breakdown. This</w:t>
      </w:r>
      <w:r>
        <w:t xml:space="preserve"> </w:t>
      </w:r>
      <w:r>
        <w:rPr>
          <w:bCs/>
          <w:b/>
        </w:rPr>
        <w:t xml:space="preserve">Quotation Estimate</w:t>
      </w:r>
      <w:r>
        <w:t xml:space="preserve"> </w:t>
      </w:r>
      <w:r>
        <w:t xml:space="preserve">reflects our commitment to delivering measurable strategic value to your enterprise within the dynamic commercial landscape of</w:t>
      </w:r>
      <w:r>
        <w:t xml:space="preserve"> </w:t>
      </w:r>
      <w:r>
        <w:rPr>
          <w:bCs/>
          <w:b/>
        </w:rPr>
        <w:t xml:space="preserve">Egypt Alexandria</w:t>
      </w:r>
      <w:r>
        <w:t xml:space="preserve">.</w:t>
      </w:r>
    </w:p>
    <w:bookmarkStart w:id="23" w:name="scope-of-business-consultant-services"/>
    <w:p>
      <w:pPr>
        <w:pStyle w:val="Heading2"/>
      </w:pPr>
      <w:r>
        <w:t xml:space="preserve">Scope of Business Consultant Services</w:t>
      </w:r>
    </w:p>
    <w:p>
      <w:pPr>
        <w:pStyle w:val="FirstParagraph"/>
      </w:pPr>
      <w:r>
        <w:t xml:space="preserve">As your dedicated</w:t>
      </w:r>
      <w:r>
        <w:t xml:space="preserve"> </w:t>
      </w:r>
      <w:r>
        <w:rPr>
          <w:bCs/>
          <w:b/>
        </w:rPr>
        <w:t xml:space="preserve">Business Consultant</w:t>
      </w:r>
      <w:r>
        <w:t xml:space="preserve"> </w:t>
      </w:r>
      <w:r>
        <w:t xml:space="preserve">in</w:t>
      </w:r>
      <w:r>
        <w:t xml:space="preserve"> </w:t>
      </w:r>
      <w:r>
        <w:rPr>
          <w:bCs/>
          <w:b/>
        </w:rPr>
        <w:t xml:space="preserve">Egypt Alexandria</w:t>
      </w:r>
      <w:r>
        <w:t xml:space="preserve">, our engagement will cover the following strategic workstreams over a period of twelve (12) months, commencing upon contract execution: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Deliverables</w:t>
            </w:r>
          </w:p>
        </w:tc>
        <w:tc>
          <w:tcPr/>
          <w:p>
            <w:pPr>
              <w:pStyle w:val="Compact"/>
              <w:jc w:val="left"/>
            </w:pPr>
            <w:r>
              <w:t xml:space="preserve">Cost (EGP)</w:t>
            </w:r>
          </w:p>
        </w:tc>
        <w:tc>
          <w:tcPr/>
          <w:p>
            <w:pPr>
              <w:pStyle w:val="Compact"/>
              <w:jc w:val="left"/>
            </w:pPr>
            <w:r>
              <w:t xml:space="preserve">Cost (USD)</w:t>
            </w:r>
          </w:p>
        </w:tc>
      </w:tr>
      <w:tr>
        <w:tc>
          <w:tcPr/>
          <w:p>
            <w:pPr>
              <w:pStyle w:val="Compact"/>
              <w:jc w:val="left"/>
            </w:pPr>
            <w:r>
              <w:t xml:space="preserve">01</w:t>
            </w:r>
          </w:p>
        </w:tc>
        <w:tc>
          <w:tcPr/>
          <w:p>
            <w:pPr>
              <w:pStyle w:val="Compact"/>
              <w:jc w:val="left"/>
            </w:pPr>
            <w:r>
              <w:t xml:space="preserve">Strategic Business Planning &amp; Market Positioning Analysis for the Alexandria metropolitan region and northern governorates</w:t>
            </w:r>
          </w:p>
        </w:tc>
        <w:tc>
          <w:tcPr/>
          <w:p>
            <w:pPr>
              <w:pStyle w:val="Compact"/>
              <w:jc w:val="left"/>
            </w:pPr>
            <w:r>
              <w:t xml:space="preserve">Months 1–2</w:t>
            </w:r>
          </w:p>
        </w:tc>
        <w:tc>
          <w:tcPr/>
          <w:p>
            <w:pPr>
              <w:pStyle w:val="Compact"/>
              <w:jc w:val="left"/>
            </w:pPr>
            <w:r>
              <w:t xml:space="preserve">Strategic Roadmap, SWOT Report</w:t>
            </w:r>
          </w:p>
        </w:tc>
        <w:tc>
          <w:tcPr/>
          <w:p>
            <w:pPr>
              <w:pStyle w:val="Compact"/>
              <w:jc w:val="left"/>
            </w:pPr>
            <w:r>
              <w:t xml:space="preserve">185,000</w:t>
            </w:r>
          </w:p>
        </w:tc>
        <w:tc>
          <w:tcPr/>
          <w:p>
            <w:pPr>
              <w:pStyle w:val="Compact"/>
              <w:jc w:val="left"/>
            </w:pPr>
            <w:r>
              <w:t xml:space="preserve">3,854</w:t>
            </w:r>
          </w:p>
        </w:tc>
      </w:tr>
      <w:tr>
        <w:tc>
          <w:tcPr/>
          <w:p>
            <w:pPr>
              <w:pStyle w:val="Compact"/>
              <w:jc w:val="left"/>
            </w:pPr>
            <w:r>
              <w:t xml:space="preserve">02</w:t>
            </w:r>
          </w:p>
        </w:tc>
        <w:tc>
          <w:tcPr/>
          <w:p>
            <w:pPr>
              <w:pStyle w:val="Compact"/>
              <w:jc w:val="left"/>
            </w:pPr>
            <w:r>
              <w:t xml:space="preserve">Operational Efficiency Audit covering supply chain, warehouse logistics, and port coordination at Alexandria Port</w:t>
            </w:r>
          </w:p>
        </w:tc>
        <w:tc>
          <w:tcPr/>
          <w:p>
            <w:pPr>
              <w:pStyle w:val="Compact"/>
              <w:jc w:val="left"/>
            </w:pPr>
            <w:r>
              <w:t xml:space="preserve">Months 2–4</w:t>
            </w:r>
          </w:p>
        </w:tc>
        <w:tc>
          <w:tcPr/>
          <w:p>
            <w:pPr>
              <w:pStyle w:val="Compact"/>
              <w:jc w:val="left"/>
            </w:pPr>
            <w:r>
              <w:t xml:space="preserve">Audit Report, KPI Dashboard</w:t>
            </w:r>
          </w:p>
        </w:tc>
        <w:tc>
          <w:tcPr/>
          <w:p>
            <w:pPr>
              <w:pStyle w:val="Compact"/>
              <w:jc w:val="left"/>
            </w:pPr>
            <w:r>
              <w:t xml:space="preserve">240,000</w:t>
            </w:r>
          </w:p>
        </w:tc>
        <w:tc>
          <w:tcPr/>
          <w:p>
            <w:pPr>
              <w:pStyle w:val="Compact"/>
              <w:jc w:val="left"/>
            </w:pPr>
            <w:r>
              <w:t xml:space="preserve">5,000</w:t>
            </w:r>
          </w:p>
        </w:tc>
      </w:tr>
      <w:tr>
        <w:tc>
          <w:tcPr/>
          <w:p>
            <w:pPr>
              <w:pStyle w:val="Compact"/>
              <w:jc w:val="left"/>
            </w:pPr>
            <w:r>
              <w:t xml:space="preserve">03</w:t>
            </w:r>
          </w:p>
        </w:tc>
        <w:tc>
          <w:tcPr/>
          <w:p>
            <w:pPr>
              <w:pStyle w:val="Compact"/>
              <w:jc w:val="left"/>
            </w:pPr>
            <w:r>
              <w:t xml:space="preserve">Financial Restructuring &amp; Cash Flow Optimization for multi-currency operations in Egypt Alexandria</w:t>
            </w:r>
          </w:p>
        </w:tc>
        <w:tc>
          <w:tcPr/>
          <w:p>
            <w:pPr>
              <w:pStyle w:val="Compact"/>
              <w:jc w:val="left"/>
            </w:pPr>
            <w:r>
              <w:t xml:space="preserve">Months 4–6</w:t>
            </w:r>
          </w:p>
        </w:tc>
        <w:tc>
          <w:tcPr/>
          <w:p>
            <w:pPr>
              <w:pStyle w:val="Compact"/>
              <w:jc w:val="left"/>
            </w:pPr>
            <w:r>
              <w:t xml:space="preserve">Financial Model, Restructuring Plan</w:t>
            </w:r>
          </w:p>
        </w:tc>
        <w:tc>
          <w:tcPr/>
          <w:p>
            <w:pPr>
              <w:pStyle w:val="Compact"/>
              <w:jc w:val="left"/>
            </w:pPr>
            <w:r>
              <w:t xml:space="preserve">210,000</w:t>
            </w:r>
          </w:p>
        </w:tc>
        <w:tc>
          <w:tcPr/>
          <w:p>
            <w:pPr>
              <w:pStyle w:val="Compact"/>
              <w:jc w:val="left"/>
            </w:pPr>
            <w:r>
              <w:t xml:space="preserve">4,375</w:t>
            </w:r>
          </w:p>
        </w:tc>
      </w:tr>
      <w:tr>
        <w:tc>
          <w:tcPr/>
          <w:p>
            <w:pPr>
              <w:pStyle w:val="Compact"/>
              <w:jc w:val="left"/>
            </w:pPr>
            <w:r>
              <w:t xml:space="preserve">04</w:t>
            </w:r>
          </w:p>
        </w:tc>
        <w:tc>
          <w:tcPr/>
          <w:p>
            <w:pPr>
              <w:pStyle w:val="Compact"/>
              <w:jc w:val="left"/>
            </w:pPr>
            <w:r>
              <w:t xml:space="preserve">Human Capital Development &amp; Organizational Design for a 350-employee workforce</w:t>
            </w:r>
          </w:p>
        </w:tc>
        <w:tc>
          <w:tcPr/>
          <w:p>
            <w:pPr>
              <w:pStyle w:val="Compact"/>
              <w:jc w:val="left"/>
            </w:pPr>
            <w:r>
              <w:t xml:space="preserve">Months 6–8</w:t>
            </w:r>
          </w:p>
        </w:tc>
        <w:tc>
          <w:tcPr/>
          <w:p>
            <w:pPr>
              <w:pStyle w:val="Compact"/>
              <w:jc w:val="left"/>
            </w:pPr>
            <w:r>
              <w:t xml:space="preserve">Org Chart, Training Curriculum</w:t>
            </w:r>
          </w:p>
        </w:tc>
        <w:tc>
          <w:tcPr/>
          <w:p>
            <w:pPr>
              <w:pStyle w:val="Compact"/>
              <w:jc w:val="left"/>
            </w:pPr>
            <w:r>
              <w:t xml:space="preserve">165,000</w:t>
            </w:r>
          </w:p>
        </w:tc>
        <w:tc>
          <w:tcPr/>
          <w:p>
            <w:pPr>
              <w:pStyle w:val="Compact"/>
              <w:jc w:val="left"/>
            </w:pPr>
            <w:r>
              <w:t xml:space="preserve">3,437</w:t>
            </w:r>
          </w:p>
        </w:tc>
      </w:tr>
      <w:tr>
        <w:tc>
          <w:tcPr/>
          <w:p>
            <w:pPr>
              <w:pStyle w:val="Compact"/>
              <w:jc w:val="left"/>
            </w:pPr>
            <w:r>
              <w:t xml:space="preserve">05</w:t>
            </w:r>
          </w:p>
        </w:tc>
        <w:tc>
          <w:tcPr/>
          <w:p>
            <w:pPr>
              <w:pStyle w:val="Compact"/>
              <w:jc w:val="left"/>
            </w:pPr>
            <w:r>
              <w:t xml:space="preserve">Digital Transformation &amp; E-Commerce Strategy aligned with Alexandria's growing digital trade corridor</w:t>
            </w:r>
          </w:p>
        </w:tc>
        <w:tc>
          <w:tcPr/>
          <w:p>
            <w:pPr>
              <w:pStyle w:val="Compact"/>
              <w:jc w:val="left"/>
            </w:pPr>
            <w:r>
              <w:t xml:space="preserve">Months 8–10</w:t>
            </w:r>
          </w:p>
        </w:tc>
        <w:tc>
          <w:tcPr/>
          <w:p>
            <w:pPr>
              <w:pStyle w:val="Compact"/>
              <w:jc w:val="left"/>
            </w:pPr>
            <w:r>
              <w:t xml:space="preserve">IT Roadmap, Vendor Selection Matrix</w:t>
            </w:r>
          </w:p>
        </w:tc>
        <w:tc>
          <w:tcPr/>
          <w:p>
            <w:pPr>
              <w:pStyle w:val="Compact"/>
              <w:jc w:val="left"/>
            </w:pPr>
            <w:r>
              <w:t xml:space="preserve">195,000</w:t>
            </w:r>
          </w:p>
        </w:tc>
        <w:tc>
          <w:tcPr/>
          <w:p>
            <w:pPr>
              <w:pStyle w:val="Compact"/>
              <w:jc w:val="left"/>
            </w:pPr>
            <w:r>
              <w:t xml:space="preserve">4,062</w:t>
            </w:r>
          </w:p>
        </w:tc>
      </w:tr>
      <w:tr>
        <w:tc>
          <w:tcPr/>
          <w:p>
            <w:pPr>
              <w:pStyle w:val="Compact"/>
              <w:jc w:val="left"/>
            </w:pPr>
            <w:r>
              <w:t xml:space="preserve">06</w:t>
            </w:r>
          </w:p>
        </w:tc>
        <w:tc>
          <w:tcPr/>
          <w:p>
            <w:pPr>
              <w:pStyle w:val="Compact"/>
              <w:jc w:val="left"/>
            </w:pPr>
            <w:r>
              <w:t xml:space="preserve">Regulatory Compliance &amp; Government Relations Advisory (Alexandria Governorate, GAFI, CBE)</w:t>
            </w:r>
          </w:p>
        </w:tc>
        <w:tc>
          <w:tcPr/>
          <w:p>
            <w:pPr>
              <w:pStyle w:val="Compact"/>
              <w:jc w:val="left"/>
            </w:pPr>
            <w:r>
              <w:t xml:space="preserve">Months 10–12</w:t>
            </w:r>
          </w:p>
        </w:tc>
        <w:tc>
          <w:tcPr/>
          <w:p>
            <w:pPr>
              <w:pStyle w:val="Compact"/>
              <w:jc w:val="left"/>
            </w:pPr>
            <w:r>
              <w:t xml:space="preserve">Compliance Manual, Liaison Log</w:t>
            </w:r>
          </w:p>
        </w:tc>
        <w:tc>
          <w:tcPr/>
          <w:p>
            <w:pPr>
              <w:pStyle w:val="Compact"/>
              <w:jc w:val="left"/>
            </w:pPr>
            <w:r>
              <w:t xml:space="preserve">120,000</w:t>
            </w:r>
          </w:p>
        </w:tc>
        <w:tc>
          <w:tcPr/>
          <w:p>
            <w:pPr>
              <w:pStyle w:val="Compact"/>
              <w:jc w:val="left"/>
            </w:pPr>
            <w:r>
              <w:t xml:space="preserve">2,500</w:t>
            </w:r>
          </w:p>
        </w:tc>
      </w:tr>
      <w:tr>
        <w:tc>
          <w:tcPr/>
          <w:p>
            <w:pPr>
              <w:pStyle w:val="Compact"/>
              <w:jc w:val="left"/>
            </w:pPr>
            <w:r>
              <w:t xml:space="preserve">07</w:t>
            </w:r>
          </w:p>
        </w:tc>
        <w:tc>
          <w:tcPr/>
          <w:p>
            <w:pPr>
              <w:pStyle w:val="Compact"/>
              <w:jc w:val="left"/>
            </w:pPr>
            <w:r>
              <w:t xml:space="preserve">Quarterly Executive Review Sessions &amp; Ongoing Business Consultant Support (4 sessions + phone/email)</w:t>
            </w:r>
          </w:p>
        </w:tc>
        <w:tc>
          <w:tcPr/>
          <w:p>
            <w:pPr>
              <w:pStyle w:val="Compact"/>
              <w:jc w:val="left"/>
            </w:pPr>
            <w:r>
              <w:t xml:space="preserve">Months 1–12</w:t>
            </w:r>
          </w:p>
        </w:tc>
        <w:tc>
          <w:tcPr/>
          <w:p>
            <w:pPr>
              <w:pStyle w:val="Compact"/>
              <w:jc w:val="left"/>
            </w:pPr>
            <w:r>
              <w:t xml:space="preserve">Executive Briefings, Action Plans</w:t>
            </w:r>
          </w:p>
        </w:tc>
        <w:tc>
          <w:tcPr/>
          <w:p>
            <w:pPr>
              <w:pStyle w:val="Compact"/>
              <w:jc w:val="left"/>
            </w:pPr>
            <w:r>
              <w:t xml:space="preserve">96,000</w:t>
            </w:r>
          </w:p>
        </w:tc>
        <w:tc>
          <w:tcPr/>
          <w:p>
            <w:pPr>
              <w:pStyle w:val="Compact"/>
              <w:jc w:val="left"/>
            </w:pPr>
            <w:r>
              <w:t xml:space="preserve">2,000</w:t>
            </w:r>
          </w:p>
        </w:tc>
      </w:tr>
    </w:tbl>
    <w:bookmarkEnd w:id="23"/>
    <w:bookmarkStart w:id="24" w:name="cost-summary"/>
    <w:p>
      <w:pPr>
        <w:pStyle w:val="Heading2"/>
      </w:pPr>
      <w:r>
        <w:t xml:space="preserve">Cost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Description</w:t>
            </w:r>
          </w:p>
        </w:tc>
        <w:tc>
          <w:tcPr/>
          <w:p>
            <w:pPr>
              <w:pStyle w:val="Compact"/>
              <w:jc w:val="left"/>
            </w:pPr>
            <w:r>
              <w:t xml:space="preserve">Amount (EGP)</w:t>
            </w:r>
          </w:p>
        </w:tc>
        <w:tc>
          <w:tcPr/>
          <w:p>
            <w:pPr>
              <w:pStyle w:val="Compact"/>
              <w:jc w:val="left"/>
            </w:pPr>
            <w:r>
              <w:t xml:space="preserve">Amount (USD)</w:t>
            </w:r>
          </w:p>
        </w:tc>
      </w:tr>
      <w:tr>
        <w:tc>
          <w:tcPr/>
          <w:p>
            <w:pPr>
              <w:pStyle w:val="Compact"/>
              <w:jc w:val="left"/>
            </w:pPr>
            <w:r>
              <w:t xml:space="preserve">Subtotal – Professional Services</w:t>
            </w:r>
          </w:p>
        </w:tc>
        <w:tc>
          <w:tcPr/>
          <w:p>
            <w:pPr>
              <w:pStyle w:val="Compact"/>
              <w:jc w:val="left"/>
            </w:pPr>
            <w:r>
              <w:t xml:space="preserve">1,211,000</w:t>
            </w:r>
          </w:p>
        </w:tc>
        <w:tc>
          <w:tcPr/>
          <w:p>
            <w:pPr>
              <w:pStyle w:val="Compact"/>
              <w:jc w:val="left"/>
            </w:pPr>
            <w:r>
              <w:t xml:space="preserve">25,228</w:t>
            </w:r>
          </w:p>
        </w:tc>
      </w:tr>
      <w:tr>
        <w:tc>
          <w:tcPr/>
          <w:p>
            <w:pPr>
              <w:pStyle w:val="Compact"/>
              <w:jc w:val="left"/>
            </w:pPr>
            <w:r>
              <w:t xml:space="preserve">Travel &amp; Local Transportation within Egypt Alexandria</w:t>
            </w:r>
          </w:p>
        </w:tc>
        <w:tc>
          <w:tcPr/>
          <w:p>
            <w:pPr>
              <w:pStyle w:val="Compact"/>
              <w:jc w:val="left"/>
            </w:pPr>
            <w:r>
              <w:t xml:space="preserve">38,000</w:t>
            </w:r>
          </w:p>
        </w:tc>
        <w:tc>
          <w:tcPr/>
          <w:p>
            <w:pPr>
              <w:pStyle w:val="Compact"/>
              <w:jc w:val="left"/>
            </w:pPr>
            <w:r>
              <w:t xml:space="preserve">792</w:t>
            </w:r>
          </w:p>
        </w:tc>
      </w:tr>
      <w:tr>
        <w:tc>
          <w:tcPr/>
          <w:p>
            <w:pPr>
              <w:pStyle w:val="Compact"/>
              <w:jc w:val="left"/>
            </w:pPr>
            <w:r>
              <w:t xml:space="preserve">Research, Data Licensing &amp; Market Intelligence</w:t>
            </w:r>
          </w:p>
        </w:tc>
        <w:tc>
          <w:tcPr/>
          <w:p>
            <w:pPr>
              <w:pStyle w:val="Compact"/>
              <w:jc w:val="left"/>
            </w:pPr>
            <w:r>
              <w:t xml:space="preserve">27,000</w:t>
            </w:r>
          </w:p>
        </w:tc>
        <w:tc>
          <w:tcPr/>
          <w:p>
            <w:pPr>
              <w:pStyle w:val="Compact"/>
              <w:jc w:val="left"/>
            </w:pPr>
            <w:r>
              <w:t xml:space="preserve">563</w:t>
            </w:r>
          </w:p>
        </w:tc>
      </w:tr>
      <w:tr>
        <w:tc>
          <w:tcPr/>
          <w:p>
            <w:pPr>
              <w:pStyle w:val="Compact"/>
              <w:jc w:val="left"/>
            </w:pPr>
            <w:r>
              <w:t xml:space="preserve">Workshop Facilitation &amp; Client Training Materials</w:t>
            </w:r>
          </w:p>
        </w:tc>
        <w:tc>
          <w:tcPr/>
          <w:p>
            <w:pPr>
              <w:pStyle w:val="Compact"/>
              <w:jc w:val="left"/>
            </w:pPr>
            <w:r>
              <w:t xml:space="preserve">24,000</w:t>
            </w:r>
          </w:p>
        </w:tc>
        <w:tc>
          <w:tcPr/>
          <w:p>
            <w:pPr>
              <w:pStyle w:val="Compact"/>
              <w:jc w:val="left"/>
            </w:pPr>
            <w:r>
              <w:t xml:space="preserve">500</w:t>
            </w:r>
          </w:p>
        </w:tc>
      </w:tr>
      <w:tr>
        <w:tc>
          <w:tcPr/>
          <w:p>
            <w:pPr>
              <w:pStyle w:val="Compact"/>
              <w:jc w:val="left"/>
            </w:pPr>
            <w:r>
              <w:t xml:space="preserve">VAT (14% – Egyptian Tax Authority)</w:t>
            </w:r>
          </w:p>
        </w:tc>
        <w:tc>
          <w:tcPr/>
          <w:p>
            <w:pPr>
              <w:pStyle w:val="Compact"/>
              <w:jc w:val="left"/>
            </w:pPr>
            <w:r>
              <w:t xml:space="preserve">190,860</w:t>
            </w:r>
          </w:p>
        </w:tc>
        <w:tc>
          <w:tcPr/>
          <w:p>
            <w:pPr>
              <w:pStyle w:val="Compact"/>
              <w:jc w:val="left"/>
            </w:pPr>
            <w:r>
              <w:t xml:space="preserve">3,978</w:t>
            </w:r>
          </w:p>
        </w:tc>
      </w:tr>
      <w:tr>
        <w:tc>
          <w:tcPr/>
          <w:p>
            <w:pPr>
              <w:pStyle w:val="Compact"/>
              <w:jc w:val="left"/>
            </w:pPr>
            <w:r>
              <w:rPr>
                <w:bCs/>
                <w:b/>
              </w:rPr>
              <w:t xml:space="preserve">Grand Total</w:t>
            </w:r>
          </w:p>
        </w:tc>
        <w:tc>
          <w:tcPr/>
          <w:p>
            <w:pPr>
              <w:pStyle w:val="Compact"/>
              <w:jc w:val="left"/>
            </w:pPr>
            <w:r>
              <w:rPr>
                <w:bCs/>
                <w:b/>
              </w:rPr>
              <w:t xml:space="preserve">1,490,860</w:t>
            </w:r>
          </w:p>
        </w:tc>
        <w:tc>
          <w:tcPr/>
          <w:p>
            <w:pPr>
              <w:pStyle w:val="Compact"/>
              <w:jc w:val="left"/>
            </w:pPr>
            <w:r>
              <w:rPr>
                <w:bCs/>
                <w:b/>
              </w:rPr>
              <w:t xml:space="preserve">31,061</w:t>
            </w:r>
          </w:p>
        </w:tc>
      </w:tr>
    </w:tbl>
    <w:bookmarkEnd w:id="24"/>
    <w:bookmarkStart w:id="25" w:name="payment-terms"/>
    <w:p>
      <w:pPr>
        <w:pStyle w:val="Heading2"/>
      </w:pPr>
      <w:r>
        <w:t xml:space="preserve">Payment Terms</w:t>
      </w:r>
    </w:p>
    <w:p>
      <w:pPr>
        <w:numPr>
          <w:ilvl w:val="0"/>
          <w:numId w:val="1001"/>
        </w:numPr>
        <w:pStyle w:val="Compact"/>
      </w:pPr>
      <w:r>
        <w:rPr>
          <w:bCs/>
          <w:b/>
        </w:rPr>
        <w:t xml:space="preserve">Advance Payment:</w:t>
      </w:r>
      <w:r>
        <w:t xml:space="preserve"> </w:t>
      </w:r>
      <w:r>
        <w:t xml:space="preserve">30% of the Grand Total (EGP 447,258) due within five (5) business days of contract signing, payable via bank transfer to Alexandria Strategic Advisory Group, National Bank of Egypt, Alexandria Branch, Account No. 0045-8821-3376.</w:t>
      </w:r>
    </w:p>
    <w:p>
      <w:pPr>
        <w:numPr>
          <w:ilvl w:val="0"/>
          <w:numId w:val="1001"/>
        </w:numPr>
        <w:pStyle w:val="Compact"/>
      </w:pPr>
      <w:r>
        <w:rPr>
          <w:bCs/>
          <w:b/>
        </w:rPr>
        <w:t xml:space="preserve">Milestone Payments:</w:t>
      </w:r>
      <w:r>
        <w:t xml:space="preserve"> </w:t>
      </w:r>
      <w:r>
        <w:t xml:space="preserve">40% (EGP 596,344) payable in two equal installments at the completion of Month 4 and Month 8, subject to delivery of corresponding workstream reports.</w:t>
      </w:r>
    </w:p>
    <w:p>
      <w:pPr>
        <w:numPr>
          <w:ilvl w:val="0"/>
          <w:numId w:val="1001"/>
        </w:numPr>
        <w:pStyle w:val="Compact"/>
      </w:pPr>
      <w:r>
        <w:rPr>
          <w:bCs/>
          <w:b/>
        </w:rPr>
        <w:t xml:space="preserve">Final Payment:</w:t>
      </w:r>
      <w:r>
        <w:t xml:space="preserve"> </w:t>
      </w:r>
      <w:r>
        <w:t xml:space="preserve">30% (EGP 447,258) payable within ten (10) business days of the final project handover and acceptance sign-off.</w:t>
      </w:r>
    </w:p>
    <w:p>
      <w:pPr>
        <w:numPr>
          <w:ilvl w:val="0"/>
          <w:numId w:val="1001"/>
        </w:numPr>
        <w:pStyle w:val="Compact"/>
      </w:pPr>
      <w:r>
        <w:t xml:space="preserve">All payments are subject to the prevailing exchange rate as published by the Central Bank of Egypt on the invoice date. This</w:t>
      </w:r>
      <w:r>
        <w:t xml:space="preserve"> </w:t>
      </w:r>
      <w:r>
        <w:rPr>
          <w:bCs/>
          <w:b/>
        </w:rPr>
        <w:t xml:space="preserve">Quotation Estimate</w:t>
      </w:r>
      <w:r>
        <w:t xml:space="preserve"> </w:t>
      </w:r>
      <w:r>
        <w:t xml:space="preserve">is quoted in both Egyptian Pounds (EGP) and United States Dollars (USD) for the client's convenience.</w:t>
      </w:r>
    </w:p>
    <w:bookmarkEnd w:id="25"/>
    <w:bookmarkStart w:id="26" w:name="terms-conditions"/>
    <w:p>
      <w:pPr>
        <w:pStyle w:val="Heading2"/>
      </w:pPr>
      <w:r>
        <w:t xml:space="preserve">Terms &amp; Conditions</w:t>
      </w:r>
    </w:p>
    <w:p>
      <w:pPr>
        <w:numPr>
          <w:ilvl w:val="0"/>
          <w:numId w:val="1002"/>
        </w:numPr>
        <w:pStyle w:val="Compact"/>
      </w:pPr>
      <w:r>
        <w:t xml:space="preserve">This</w:t>
      </w:r>
      <w:r>
        <w:t xml:space="preserve"> </w:t>
      </w:r>
      <w:r>
        <w:rPr>
          <w:bCs/>
          <w:b/>
        </w:rPr>
        <w:t xml:space="preserve">Quotation Estimate</w:t>
      </w:r>
      <w:r>
        <w:t xml:space="preserve"> </w:t>
      </w:r>
      <w:r>
        <w:t xml:space="preserve">is valid for thirty (30) calendar days from the date of issue. After the expiry date, pricing may be revised to reflect changes in market conditions, exchange rates, or resource availability in</w:t>
      </w:r>
      <w:r>
        <w:t xml:space="preserve"> </w:t>
      </w:r>
      <w:r>
        <w:rPr>
          <w:bCs/>
          <w:b/>
        </w:rPr>
        <w:t xml:space="preserve">Egypt Alexandria</w:t>
      </w:r>
      <w:r>
        <w:t xml:space="preserve">.</w:t>
      </w:r>
    </w:p>
    <w:p>
      <w:pPr>
        <w:numPr>
          <w:ilvl w:val="0"/>
          <w:numId w:val="1002"/>
        </w:numPr>
        <w:pStyle w:val="Compact"/>
      </w:pPr>
      <w:r>
        <w:t xml:space="preserve">The</w:t>
      </w:r>
      <w:r>
        <w:t xml:space="preserve"> </w:t>
      </w:r>
      <w:r>
        <w:rPr>
          <w:bCs/>
          <w:b/>
        </w:rPr>
        <w:t xml:space="preserve">Business Consultant</w:t>
      </w:r>
      <w:r>
        <w:t xml:space="preserve"> </w:t>
      </w:r>
      <w:r>
        <w:t xml:space="preserve">engagement is governed by the Egyptian Civil Code (Law No. 131 of 1948) and applicable commercial regulations. Any disputes shall be resolved through arbitration in Alexandria, Egypt, in accordance with the rules of the Alexandria Chamber of Commerce.</w:t>
      </w:r>
    </w:p>
    <w:p>
      <w:pPr>
        <w:numPr>
          <w:ilvl w:val="0"/>
          <w:numId w:val="1002"/>
        </w:numPr>
        <w:pStyle w:val="Compact"/>
      </w:pPr>
      <w:r>
        <w:t xml:space="preserve">All intellectual property, reports, and deliverables produced under this engagement shall become the exclusive property of the client upon full payment. The</w:t>
      </w:r>
      <w:r>
        <w:t xml:space="preserve"> </w:t>
      </w:r>
      <w:r>
        <w:rPr>
          <w:bCs/>
          <w:b/>
        </w:rPr>
        <w:t xml:space="preserve">Business Consultant</w:t>
      </w:r>
      <w:r>
        <w:t xml:space="preserve"> </w:t>
      </w:r>
      <w:r>
        <w:t xml:space="preserve">retains the right to reference the engagement in anonymized case studies.</w:t>
      </w:r>
    </w:p>
    <w:p>
      <w:pPr>
        <w:numPr>
          <w:ilvl w:val="0"/>
          <w:numId w:val="1002"/>
        </w:numPr>
        <w:pStyle w:val="Compact"/>
      </w:pPr>
      <w:r>
        <w:t xml:space="preserve">Confidentiality: Both parties agree to maintain strict confidentiality of all proprietary information exchanged during the engagement, as outlined in the separate Non-Disclosure Agreement (NDA) to be executed concurrently with this contract.</w:t>
      </w:r>
    </w:p>
    <w:p>
      <w:pPr>
        <w:numPr>
          <w:ilvl w:val="0"/>
          <w:numId w:val="1002"/>
        </w:numPr>
        <w:pStyle w:val="Compact"/>
      </w:pPr>
      <w:r>
        <w:t xml:space="preserve">Force Majeure: Neither party shall be liable for delays caused by events beyond reasonable control, including but not limited to government-mandated closures, natural disasters affecting the Alexandria coastline, or national emergency declarations.</w:t>
      </w:r>
    </w:p>
    <w:p>
      <w:pPr>
        <w:numPr>
          <w:ilvl w:val="0"/>
          <w:numId w:val="1002"/>
        </w:numPr>
        <w:pStyle w:val="Compact"/>
      </w:pPr>
      <w:r>
        <w:t xml:space="preserve">Scope Changes: Any modification to the agreed scope of work must be documented in a written Change Order signed by both parties. Additional costs will be estimated separately and appended to this</w:t>
      </w:r>
      <w:r>
        <w:t xml:space="preserve"> </w:t>
      </w:r>
      <w:r>
        <w:rPr>
          <w:bCs/>
          <w:b/>
        </w:rPr>
        <w:t xml:space="preserve">Quotation Estimate</w:t>
      </w:r>
      <w:r>
        <w:t xml:space="preserve">.</w:t>
      </w:r>
    </w:p>
    <w:p>
      <w:pPr>
        <w:numPr>
          <w:ilvl w:val="0"/>
          <w:numId w:val="1002"/>
        </w:numPr>
        <w:pStyle w:val="Compact"/>
      </w:pPr>
      <w:r>
        <w:t xml:space="preserve">The</w:t>
      </w:r>
      <w:r>
        <w:t xml:space="preserve"> </w:t>
      </w:r>
      <w:r>
        <w:rPr>
          <w:bCs/>
          <w:b/>
        </w:rPr>
        <w:t xml:space="preserve">Business Consultant</w:t>
      </w:r>
      <w:r>
        <w:t xml:space="preserve"> </w:t>
      </w:r>
      <w:r>
        <w:t xml:space="preserve">team assigned to this project will be based in Alexandria, Egypt, and will conduct on-site visits at the client's premises no fewer than two (2) days per week, with remote support available on all other business days.</w:t>
      </w:r>
    </w:p>
    <w:bookmarkEnd w:id="26"/>
    <w:bookmarkStart w:id="27" w:name="acceptance-authorization"/>
    <w:p>
      <w:pPr>
        <w:pStyle w:val="Heading2"/>
      </w:pPr>
      <w:r>
        <w:t xml:space="preserve">Acceptance &amp;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terms, conditions, and pricing outlined herein for the</w:t>
      </w:r>
      <w:r>
        <w:t xml:space="preserve"> </w:t>
      </w:r>
      <w:r>
        <w:rPr>
          <w:bCs/>
          <w:b/>
        </w:rPr>
        <w:t xml:space="preserve">Business Consultant</w:t>
      </w:r>
      <w:r>
        <w:t xml:space="preserve"> </w:t>
      </w:r>
      <w:r>
        <w:t xml:space="preserve">services to be delivered in</w:t>
      </w:r>
      <w:r>
        <w:t xml:space="preserve"> </w:t>
      </w:r>
      <w:r>
        <w:rPr>
          <w:bCs/>
          <w:b/>
        </w:rPr>
        <w:t xml:space="preserve">Egypt Alexandria</w:t>
      </w:r>
      <w:r>
        <w:t xml:space="preserve">.</w:t>
      </w:r>
    </w:p>
    <w:p>
      <w:pPr>
        <w:pStyle w:val="BodyText"/>
      </w:pPr>
      <w:r>
        <w:rPr>
          <w:bCs/>
          <w:b/>
        </w:rPr>
        <w:t xml:space="preserve">For: Alexandria Strategic Advisory Group</w:t>
      </w:r>
    </w:p>
    <w:p>
      <w:pPr>
        <w:pStyle w:val="BodyText"/>
      </w:pPr>
      <w:r>
        <w:t xml:space="preserve">Dr. Mahmoud El-Sayed</w:t>
      </w:r>
    </w:p>
    <w:p>
      <w:pPr>
        <w:pStyle w:val="BodyText"/>
      </w:pPr>
      <w:r>
        <w:t xml:space="preserve">Senior Business Consultant &amp; Managing Partner</w:t>
      </w:r>
    </w:p>
    <w:p>
      <w:pPr>
        <w:pStyle w:val="BodyText"/>
      </w:pPr>
      <w:r>
        <w:t xml:space="preserve">Signature &amp; Company Stamp</w:t>
      </w:r>
    </w:p>
    <w:p>
      <w:pPr>
        <w:pStyle w:val="BodyText"/>
      </w:pPr>
      <w:r>
        <w:rPr>
          <w:bCs/>
          <w:b/>
        </w:rPr>
        <w:t xml:space="preserve">For: Nile Delta Trading &amp; Logistics Co.</w:t>
      </w:r>
    </w:p>
    <w:p>
      <w:pPr>
        <w:pStyle w:val="BodyText"/>
      </w:pPr>
      <w:r>
        <w:t xml:space="preserve">Mr. Ahmed Hassan</w:t>
      </w:r>
    </w:p>
    <w:p>
      <w:pPr>
        <w:pStyle w:val="BodyText"/>
      </w:pPr>
      <w:r>
        <w:t xml:space="preserve">Managing Director</w:t>
      </w:r>
    </w:p>
    <w:p>
      <w:pPr>
        <w:pStyle w:val="BodyText"/>
      </w:pPr>
      <w:r>
        <w:t xml:space="preserve">Signature &amp; Company Stamp</w:t>
      </w:r>
    </w:p>
    <w:p>
      <w:pPr>
        <w:pStyle w:val="BodyText"/>
      </w:pPr>
      <w:r>
        <w:t xml:space="preserve">Alexandria Strategic Advisory Group | Business Consultant Services | Egypt Alexandria</w:t>
      </w:r>
    </w:p>
    <w:p>
      <w:pPr>
        <w:pStyle w:val="BodyText"/>
      </w:pPr>
      <w:r>
        <w:t xml:space="preserve">Quotation Estimate No. QTE-2025-ALE-0472 | Page 1 of 1</w:t>
      </w:r>
    </w:p>
    <w:p>
      <w:pPr>
        <w:pStyle w:val="BodyText"/>
      </w:pPr>
      <w:r>
        <w:t xml:space="preserve">This document is generated electronically and is valid without a physical stamp. For verification, contact +20 3 555 1234.</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Egypt Alexandria</dc:title>
  <dc:creator/>
  <dc:language>en</dc:language>
  <cp:keywords/>
  <dcterms:created xsi:type="dcterms:W3CDTF">2026-10-10T03:17:35Z</dcterms:created>
  <dcterms:modified xsi:type="dcterms:W3CDTF">2026-10-10T03:17:35Z</dcterms:modified>
</cp:coreProperties>
</file>

<file path=docProps/custom.xml><?xml version="1.0" encoding="utf-8"?>
<Properties xmlns="http://schemas.openxmlformats.org/officeDocument/2006/custom-properties" xmlns:vt="http://schemas.openxmlformats.org/officeDocument/2006/docPropsVTypes"/>
</file>