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Business Consultant Services | Egypt Cairo</w:t>
      </w:r>
    </w:p>
    <w:bookmarkEnd w:id="20"/>
    <w:bookmarkStart w:id="21" w:name="provider"/>
    <w:p>
      <w:pPr>
        <w:pStyle w:val="Heading3"/>
      </w:pPr>
      <w:r>
        <w:t xml:space="preserve">Provider</w:t>
      </w:r>
    </w:p>
    <w:p>
      <w:pPr>
        <w:pStyle w:val="FirstParagraph"/>
      </w:pPr>
      <w:r>
        <w:rPr>
          <w:bCs/>
          <w:b/>
        </w:rPr>
        <w:t xml:space="preserve">Nile Strategic Advisory Group</w:t>
      </w:r>
    </w:p>
    <w:p>
      <w:pPr>
        <w:pStyle w:val="BodyText"/>
      </w:pPr>
      <w:r>
        <w:t xml:space="preserve">Business Consultant Firm</w:t>
      </w:r>
    </w:p>
    <w:p>
      <w:pPr>
        <w:pStyle w:val="BodyText"/>
      </w:pPr>
      <w:r>
        <w:t xml:space="preserve">12 Tahrir Square, Downtown District</w:t>
      </w:r>
    </w:p>
    <w:p>
      <w:pPr>
        <w:pStyle w:val="BodyText"/>
      </w:pPr>
      <w:r>
        <w:t xml:space="preserve">Cairo, Egypt 11511</w:t>
      </w:r>
    </w:p>
    <w:p>
      <w:pPr>
        <w:pStyle w:val="BodyText"/>
      </w:pPr>
      <w:r>
        <w:t xml:space="preserve">Tel: +20 2 2578 4432</w:t>
      </w:r>
    </w:p>
    <w:p>
      <w:pPr>
        <w:pStyle w:val="BodyText"/>
      </w:pPr>
      <w:r>
        <w:t xml:space="preserve">Email: info@nilestrategic.com.eg</w:t>
      </w:r>
    </w:p>
    <w:p>
      <w:pPr>
        <w:pStyle w:val="BodyText"/>
      </w:pPr>
      <w:r>
        <w:t xml:space="preserve">CR: 184729 | Tax ID: 552-881-334</w:t>
      </w:r>
    </w:p>
    <w:bookmarkEnd w:id="21"/>
    <w:bookmarkStart w:id="22" w:name="client"/>
    <w:p>
      <w:pPr>
        <w:pStyle w:val="Heading3"/>
      </w:pPr>
      <w:r>
        <w:t xml:space="preserve">Client</w:t>
      </w:r>
    </w:p>
    <w:p>
      <w:pPr>
        <w:pStyle w:val="FirstParagraph"/>
      </w:pPr>
      <w:r>
        <w:rPr>
          <w:bCs/>
          <w:b/>
        </w:rPr>
        <w:t xml:space="preserve">Al-Nileh Trading &amp; Logistics Co.</w:t>
      </w:r>
    </w:p>
    <w:p>
      <w:pPr>
        <w:pStyle w:val="BodyText"/>
      </w:pPr>
      <w:r>
        <w:t xml:space="preserve">Attn: Mr. Ahmed Hassan, CEO</w:t>
      </w:r>
    </w:p>
    <w:p>
      <w:pPr>
        <w:pStyle w:val="BodyText"/>
      </w:pPr>
      <w:r>
        <w:t xml:space="preserve">45 El-Mokattam Road, Nasr City</w:t>
      </w:r>
    </w:p>
    <w:p>
      <w:pPr>
        <w:pStyle w:val="BodyText"/>
      </w:pPr>
      <w:r>
        <w:t xml:space="preserve">Cairo, Egypt 11341</w:t>
      </w:r>
    </w:p>
    <w:p>
      <w:pPr>
        <w:pStyle w:val="BodyText"/>
      </w:pPr>
      <w:r>
        <w:t xml:space="preserve">Tel: +20 100 556 7789</w:t>
      </w:r>
    </w:p>
    <w:p>
      <w:pPr>
        <w:pStyle w:val="BodyText"/>
      </w:pPr>
      <w:r>
        <w:t xml:space="preserve">Email: ahmed.hassan@alnileh.com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Service Location:</w:t>
            </w:r>
          </w:p>
        </w:tc>
        <w:tc>
          <w:tcPr/>
          <w:p>
            <w:pPr>
              <w:pStyle w:val="Compact"/>
              <w:jc w:val="left"/>
            </w:pPr>
            <w:r>
              <w:t xml:space="preserve">Cairo, Egypt (On-site &amp; Remote)</w:t>
            </w:r>
          </w:p>
        </w:tc>
      </w:tr>
      <w:tr>
        <w:tc>
          <w:tcPr/>
          <w:p>
            <w:pPr>
              <w:pStyle w:val="Compact"/>
              <w:jc w:val="left"/>
            </w:pPr>
            <w:r>
              <w:t xml:space="preserve">Prepared By:</w:t>
            </w:r>
          </w:p>
        </w:tc>
        <w:tc>
          <w:tcPr/>
          <w:p>
            <w:pPr>
              <w:pStyle w:val="Compact"/>
              <w:jc w:val="left"/>
            </w:pPr>
            <w:r>
              <w:t xml:space="preserve">Dr. Mona El-Sayed, Senior Business Consultant</w:t>
            </w:r>
          </w:p>
        </w:tc>
        <w:tc>
          <w:tcPr/>
          <w:p>
            <w:pPr>
              <w:pStyle w:val="Compact"/>
              <w:jc w:val="left"/>
            </w:pPr>
            <w:r>
              <w:t xml:space="preserve">Approved By:</w:t>
            </w:r>
          </w:p>
        </w:tc>
        <w:tc>
          <w:tcPr/>
          <w:p>
            <w:pPr>
              <w:pStyle w:val="Compact"/>
              <w:jc w:val="left"/>
            </w:pPr>
            <w:r>
              <w:t xml:space="preserve">Mr. Khaled Farouk, Managing Director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Nile Strategic Advisory Group to formally present the scope, deliverables, and associated costs for professional</w:t>
      </w:r>
      <w:r>
        <w:t xml:space="preserve"> </w:t>
      </w:r>
      <w:r>
        <w:t xml:space="preserve">Business Consultant</w:t>
      </w:r>
      <w:r>
        <w:t xml:space="preserve"> </w:t>
      </w:r>
      <w:r>
        <w:t xml:space="preserve">engagement services to be delivered in</w:t>
      </w:r>
      <w:r>
        <w:t xml:space="preserve"> </w:t>
      </w:r>
      <w:r>
        <w:t xml:space="preserve">Egypt Cairo</w:t>
      </w:r>
      <w:r>
        <w:t xml:space="preserve">. This document serves as a binding financial proposal upon client acceptance and is structured in accordance with the Egyptian Commercial Code and the regulations of the Egyptian Companies Authority. The</w:t>
      </w:r>
      <w:r>
        <w:t xml:space="preserve"> </w:t>
      </w:r>
      <w:r>
        <w:t xml:space="preserve">Business Consultant</w:t>
      </w:r>
      <w:r>
        <w:t xml:space="preserve"> </w:t>
      </w:r>
      <w:r>
        <w:t xml:space="preserve">engagement outlined herein is specifically tailored to the operational, strategic, and financial needs of the client within the competitive business environment of</w:t>
      </w:r>
      <w:r>
        <w:t xml:space="preserve"> </w:t>
      </w:r>
      <w:r>
        <w:t xml:space="preserve">Egypt Cairo</w:t>
      </w:r>
      <w:r>
        <w:t xml:space="preserve">.</w:t>
      </w:r>
    </w:p>
    <w:bookmarkEnd w:id="23"/>
    <w:bookmarkStart w:id="24" w:name="scope-of-business-consultant-services"/>
    <w:p>
      <w:pPr>
        <w:pStyle w:val="Heading2"/>
      </w:pPr>
      <w:r>
        <w:t xml:space="preserve">2. Scope of Business Consultant Services</w:t>
      </w:r>
    </w:p>
    <w:p>
      <w:pPr>
        <w:pStyle w:val="FirstParagraph"/>
      </w:pPr>
      <w:r>
        <w:t xml:space="preserve">The following</w:t>
      </w:r>
      <w:r>
        <w:t xml:space="preserve"> </w:t>
      </w:r>
      <w:r>
        <w:t xml:space="preserve">Business Consultant</w:t>
      </w:r>
      <w:r>
        <w:t xml:space="preserve"> </w:t>
      </w:r>
      <w:r>
        <w:t xml:space="preserve">services are proposed for execution in</w:t>
      </w:r>
      <w:r>
        <w:t xml:space="preserve"> </w:t>
      </w:r>
      <w:r>
        <w:t xml:space="preserve">Egypt Cairo</w:t>
      </w:r>
      <w:r>
        <w:t xml:space="preserve"> </w:t>
      </w:r>
      <w:r>
        <w:t xml:space="preserve">over a period of twelve (12) weeks, commencing upon written acceptance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Comprehensive Business Strategy Assessment &amp; Market Analysis for the Cairo metropolitan commercial sector</w:t>
            </w:r>
          </w:p>
        </w:tc>
        <w:tc>
          <w:tcPr/>
          <w:p>
            <w:pPr>
              <w:pStyle w:val="Compact"/>
              <w:jc w:val="left"/>
            </w:pPr>
            <w:r>
              <w:t xml:space="preserve">Strategic Report (40+ pages)</w:t>
            </w:r>
          </w:p>
        </w:tc>
        <w:tc>
          <w:tcPr/>
          <w:p>
            <w:pPr>
              <w:pStyle w:val="Compact"/>
              <w:jc w:val="left"/>
            </w:pPr>
            <w:r>
              <w:t xml:space="preserve">Weeks 1–2</w:t>
            </w:r>
          </w:p>
        </w:tc>
        <w:tc>
          <w:tcPr/>
          <w:p>
            <w:pPr>
              <w:pStyle w:val="Compact"/>
              <w:jc w:val="left"/>
            </w:pPr>
            <w:r>
              <w:t xml:space="preserve">Fixed Fee</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Operational Process Optimization &amp; Supply Chain Restructuring (on-site in Cairo offices)</w:t>
            </w:r>
          </w:p>
        </w:tc>
        <w:tc>
          <w:tcPr/>
          <w:p>
            <w:pPr>
              <w:pStyle w:val="Compact"/>
              <w:jc w:val="left"/>
            </w:pPr>
            <w:r>
              <w:t xml:space="preserve">Process Manual &amp; SOPs</w:t>
            </w:r>
          </w:p>
        </w:tc>
        <w:tc>
          <w:tcPr/>
          <w:p>
            <w:pPr>
              <w:pStyle w:val="Compact"/>
              <w:jc w:val="left"/>
            </w:pPr>
            <w:r>
              <w:t xml:space="preserve">Weeks 3–5</w:t>
            </w:r>
          </w:p>
        </w:tc>
        <w:tc>
          <w:tcPr/>
          <w:p>
            <w:pPr>
              <w:pStyle w:val="Compact"/>
              <w:jc w:val="left"/>
            </w:pPr>
            <w:r>
              <w:t xml:space="preserve">Fixed Fee</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Financial Modeling, Cash Flow Forecasting &amp; Investment Readiness Assessment</w:t>
            </w:r>
          </w:p>
        </w:tc>
        <w:tc>
          <w:tcPr/>
          <w:p>
            <w:pPr>
              <w:pStyle w:val="Compact"/>
              <w:jc w:val="left"/>
            </w:pPr>
            <w:r>
              <w:t xml:space="preserve">Financial Model (Excel) &amp; Advisory Memo</w:t>
            </w:r>
          </w:p>
        </w:tc>
        <w:tc>
          <w:tcPr/>
          <w:p>
            <w:pPr>
              <w:pStyle w:val="Compact"/>
              <w:jc w:val="left"/>
            </w:pPr>
            <w:r>
              <w:t xml:space="preserve">Weeks 5–7</w:t>
            </w:r>
          </w:p>
        </w:tc>
        <w:tc>
          <w:tcPr/>
          <w:p>
            <w:pPr>
              <w:pStyle w:val="Compact"/>
              <w:jc w:val="left"/>
            </w:pPr>
            <w:r>
              <w:t xml:space="preserve">Fixed Fee</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Human Capital &amp; Organizational Development Consulting (workshops in Cairo)</w:t>
            </w:r>
          </w:p>
        </w:tc>
        <w:tc>
          <w:tcPr/>
          <w:p>
            <w:pPr>
              <w:pStyle w:val="Compact"/>
              <w:jc w:val="left"/>
            </w:pPr>
            <w:r>
              <w:t xml:space="preserve">Training Materials &amp; Org Chart</w:t>
            </w:r>
          </w:p>
        </w:tc>
        <w:tc>
          <w:tcPr/>
          <w:p>
            <w:pPr>
              <w:pStyle w:val="Compact"/>
              <w:jc w:val="left"/>
            </w:pPr>
            <w:r>
              <w:t xml:space="preserve">Weeks 7–9</w:t>
            </w:r>
          </w:p>
        </w:tc>
        <w:tc>
          <w:tcPr/>
          <w:p>
            <w:pPr>
              <w:pStyle w:val="Compact"/>
              <w:jc w:val="left"/>
            </w:pPr>
            <w:r>
              <w:t xml:space="preserve">Fixed Fee</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Digital Transformation Roadmap &amp; Technology Integration Advisory</w:t>
            </w:r>
          </w:p>
        </w:tc>
        <w:tc>
          <w:tcPr/>
          <w:p>
            <w:pPr>
              <w:pStyle w:val="Compact"/>
              <w:jc w:val="left"/>
            </w:pPr>
            <w:r>
              <w:t xml:space="preserve">Roadmap Document &amp; Vendor Shortlist</w:t>
            </w:r>
          </w:p>
        </w:tc>
        <w:tc>
          <w:tcPr/>
          <w:p>
            <w:pPr>
              <w:pStyle w:val="Compact"/>
              <w:jc w:val="left"/>
            </w:pPr>
            <w:r>
              <w:t xml:space="preserve">Weeks 9–11</w:t>
            </w:r>
          </w:p>
        </w:tc>
        <w:tc>
          <w:tcPr/>
          <w:p>
            <w:pPr>
              <w:pStyle w:val="Compact"/>
              <w:jc w:val="left"/>
            </w:pPr>
            <w:r>
              <w:t xml:space="preserve">Fixed Fee</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Final Executive Presentation, Implementation Plan &amp; 30-Day Post-Engagement Support</w:t>
            </w:r>
          </w:p>
        </w:tc>
        <w:tc>
          <w:tcPr/>
          <w:p>
            <w:pPr>
              <w:pStyle w:val="Compact"/>
              <w:jc w:val="left"/>
            </w:pPr>
            <w:r>
              <w:t xml:space="preserve">Board Deck &amp; Implementation Gantt</w:t>
            </w:r>
          </w:p>
        </w:tc>
        <w:tc>
          <w:tcPr/>
          <w:p>
            <w:pPr>
              <w:pStyle w:val="Compact"/>
              <w:jc w:val="left"/>
            </w:pPr>
            <w:r>
              <w:t xml:space="preserve">Weeks 11–12</w:t>
            </w:r>
          </w:p>
        </w:tc>
        <w:tc>
          <w:tcPr/>
          <w:p>
            <w:pPr>
              <w:pStyle w:val="Compact"/>
              <w:jc w:val="left"/>
            </w:pPr>
            <w:r>
              <w:t xml:space="preserve">Fixed Fee</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Travel, Local Transportation &amp; Accommodation within Cairo &amp; Giza (Business Consultant on-site visits)</w:t>
            </w:r>
          </w:p>
        </w:tc>
        <w:tc>
          <w:tcPr/>
          <w:p>
            <w:pPr>
              <w:pStyle w:val="Compact"/>
              <w:jc w:val="left"/>
            </w:pPr>
            <w:r>
              <w:t xml:space="preserve">Itemized Expense Report</w:t>
            </w:r>
          </w:p>
        </w:tc>
        <w:tc>
          <w:tcPr/>
          <w:p>
            <w:pPr>
              <w:pStyle w:val="Compact"/>
              <w:jc w:val="left"/>
            </w:pPr>
            <w:r>
              <w:t xml:space="preserve">12 Weeks</w:t>
            </w:r>
          </w:p>
        </w:tc>
        <w:tc>
          <w:tcPr/>
          <w:p>
            <w:pPr>
              <w:pStyle w:val="Compact"/>
              <w:jc w:val="left"/>
            </w:pPr>
            <w:r>
              <w:t xml:space="preserve">Per Diem</w:t>
            </w:r>
          </w:p>
        </w:tc>
        <w:tc>
          <w:tcPr/>
          <w:p>
            <w:pPr>
              <w:pStyle w:val="Compact"/>
              <w:jc w:val="left"/>
            </w:pPr>
            <w:r>
              <w:t xml:space="preserve">25,000</w:t>
            </w:r>
          </w:p>
        </w:tc>
      </w:tr>
      <w:tr>
        <w:tc>
          <w:tcPr>
            <w:gridSpan w:val="5"/>
          </w:tcPr>
          <w:p>
            <w:pPr>
              <w:pStyle w:val="Compact"/>
              <w:jc w:val="right"/>
            </w:pPr>
            <w:r>
              <w:t xml:space="preserve">TOTAL ESTIMATED COST (EGP)</w:t>
            </w:r>
          </w:p>
        </w:tc>
        <w:tc>
          <w:tcPr/>
          <w:p>
            <w:pPr>
              <w:pStyle w:val="Compact"/>
              <w:jc w:val="left"/>
            </w:pPr>
            <w:r>
              <w:t xml:space="preserve">505,000</w:t>
            </w:r>
          </w:p>
        </w:tc>
      </w:tr>
      <w:tr>
        <w:tc>
          <w:tcPr>
            <w:gridSpan w:val="5"/>
          </w:tcPr>
          <w:p>
            <w:pPr>
              <w:pStyle w:val="Compact"/>
              <w:jc w:val="right"/>
            </w:pPr>
            <w:r>
              <w:t xml:space="preserve">VAT (14% – Egyptian Tax Authority)</w:t>
            </w:r>
          </w:p>
        </w:tc>
        <w:tc>
          <w:tcPr/>
          <w:p>
            <w:pPr>
              <w:pStyle w:val="Compact"/>
              <w:jc w:val="left"/>
            </w:pPr>
            <w:r>
              <w:t xml:space="preserve">70,700</w:t>
            </w:r>
          </w:p>
        </w:tc>
      </w:tr>
      <w:tr>
        <w:tc>
          <w:tcPr>
            <w:gridSpan w:val="5"/>
          </w:tcPr>
          <w:p>
            <w:pPr>
              <w:pStyle w:val="Compact"/>
              <w:jc w:val="right"/>
            </w:pPr>
            <w:r>
              <w:t xml:space="preserve">GRAND TOTAL (EGP, VAT Inclusive)</w:t>
            </w:r>
          </w:p>
        </w:tc>
        <w:tc>
          <w:tcPr/>
          <w:p>
            <w:pPr>
              <w:pStyle w:val="Compact"/>
              <w:jc w:val="left"/>
            </w:pPr>
            <w:r>
              <w:t xml:space="preserve">575,700</w:t>
            </w:r>
          </w:p>
        </w:tc>
      </w:tr>
    </w:tbl>
    <w:p>
      <w:pPr>
        <w:pStyle w:val="BodyText"/>
      </w:pPr>
      <w:r>
        <w:rPr>
          <w:bCs/>
          <w:b/>
        </w:rPr>
        <w:t xml:space="preserve">Note:</w:t>
      </w:r>
      <w:r>
        <w:t xml:space="preserve"> </w:t>
      </w:r>
      <w:r>
        <w:t xml:space="preserve">All amounts in this</w:t>
      </w:r>
      <w:r>
        <w:t xml:space="preserve"> </w:t>
      </w:r>
      <w:r>
        <w:t xml:space="preserve">Quotation Estimate</w:t>
      </w:r>
      <w:r>
        <w:t xml:space="preserve"> </w:t>
      </w:r>
      <w:r>
        <w:t xml:space="preserve">are denominated in Egyptian Pounds (EGP) and are subject to the prevailing exchange rate at the time of invoicing. The</w:t>
      </w:r>
      <w:r>
        <w:t xml:space="preserve"> </w:t>
      </w:r>
      <w:r>
        <w:t xml:space="preserve">Business Consultant</w:t>
      </w:r>
      <w:r>
        <w:t xml:space="preserve"> </w:t>
      </w:r>
      <w:r>
        <w:t xml:space="preserve">fees are exclusive of any third-party licensing, software procurement, or regulatory filing fees that may arise during the engagement in</w:t>
      </w:r>
      <w:r>
        <w:t xml:space="preserve"> </w:t>
      </w:r>
      <w:r>
        <w:t xml:space="preserve">Egypt Cairo</w:t>
      </w:r>
      <w:r>
        <w:t xml:space="preserve">.</w:t>
      </w:r>
    </w:p>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Quotation Estimate</w:t>
      </w:r>
      <w:r>
        <w:t xml:space="preserve"> </w:t>
      </w:r>
      <w:r>
        <w:t xml:space="preserve">is valid for thirty (30) calendar days from the date of issue. Acceptance must be communicated in writing via signed copy of this document or a formal purchase order referencing Quotation Estimate No. QTE-2025-04782.</w:t>
      </w:r>
    </w:p>
    <w:p>
      <w:pPr>
        <w:numPr>
          <w:ilvl w:val="0"/>
          <w:numId w:val="1001"/>
        </w:numPr>
        <w:pStyle w:val="Compact"/>
      </w:pPr>
      <w:r>
        <w:rPr>
          <w:bCs/>
          <w:b/>
        </w:rPr>
        <w:t xml:space="preserve">Payment Schedule:</w:t>
      </w:r>
      <w:r>
        <w:t xml:space="preserve"> </w:t>
      </w:r>
      <w:r>
        <w:t xml:space="preserve">30% advance payment upon contract signing; 40% upon completion of Week 6 deliverables; 30% upon final delivery and acceptance. All payments shall be made via bank transfer to the provider's account at CIB, Cairo Branch, Egypt.</w:t>
      </w:r>
    </w:p>
    <w:p>
      <w:pPr>
        <w:numPr>
          <w:ilvl w:val="0"/>
          <w:numId w:val="1001"/>
        </w:numPr>
        <w:pStyle w:val="Compact"/>
      </w:pPr>
      <w:r>
        <w:rPr>
          <w:bCs/>
          <w:b/>
        </w:rPr>
        <w:t xml:space="preserve">Confidentiality:</w:t>
      </w:r>
      <w:r>
        <w:t xml:space="preserve"> </w:t>
      </w:r>
      <w:r>
        <w:t xml:space="preserve">The</w:t>
      </w:r>
      <w:r>
        <w:t xml:space="preserve"> </w:t>
      </w:r>
      <w:r>
        <w:t xml:space="preserve">Business Consultant</w:t>
      </w:r>
      <w:r>
        <w:t xml:space="preserve"> </w:t>
      </w:r>
      <w:r>
        <w:t xml:space="preserve">and all supporting team members shall adhere to a strict Non-Disclosure Agreement (NDA) covering all proprietary information of the client obtained during the engagement in</w:t>
      </w:r>
      <w:r>
        <w:t xml:space="preserve"> </w:t>
      </w:r>
      <w:r>
        <w:t xml:space="preserve">Egypt Cairo</w:t>
      </w:r>
      <w:r>
        <w:t xml:space="preserve">.</w:t>
      </w:r>
    </w:p>
    <w:p>
      <w:pPr>
        <w:numPr>
          <w:ilvl w:val="0"/>
          <w:numId w:val="1001"/>
        </w:numPr>
        <w:pStyle w:val="Compact"/>
      </w:pPr>
      <w:r>
        <w:rPr>
          <w:bCs/>
          <w:b/>
        </w:rPr>
        <w:t xml:space="preserve">Intellectual Property:</w:t>
      </w:r>
      <w:r>
        <w:t xml:space="preserve"> </w:t>
      </w:r>
      <w:r>
        <w:t xml:space="preserve">All reports, models, and deliverables produced under this</w:t>
      </w:r>
      <w:r>
        <w:t xml:space="preserve"> </w:t>
      </w:r>
      <w:r>
        <w:t xml:space="preserve">Quotation Estimate</w:t>
      </w:r>
      <w:r>
        <w:t xml:space="preserve"> </w:t>
      </w:r>
      <w:r>
        <w:t xml:space="preserve">shall become the sole property of the client upon full payment. The</w:t>
      </w:r>
      <w:r>
        <w:t xml:space="preserve"> </w:t>
      </w:r>
      <w:r>
        <w:t xml:space="preserve">Business Consultant</w:t>
      </w:r>
      <w:r>
        <w:t xml:space="preserve"> </w:t>
      </w:r>
      <w:r>
        <w:t xml:space="preserve">retains the right to reference the engagement in anonymized case studies.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civil unrest, or natural disasters affecting</w:t>
      </w:r>
      <w:r>
        <w:t xml:space="preserve"> </w:t>
      </w:r>
      <w:r>
        <w:t xml:space="preserve">Egypt Cairo</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Arab Republic of Egypt. Disputes shall be resolved through arbitration at the Egyptian Arbitration Center in Cairo.</w:t>
      </w:r>
    </w:p>
    <w:p>
      <w:pPr>
        <w:numPr>
          <w:ilvl w:val="0"/>
          <w:numId w:val="1001"/>
        </w:numPr>
        <w:pStyle w:val="Compact"/>
      </w:pPr>
      <w:r>
        <w:rPr>
          <w:bCs/>
          <w:b/>
        </w:rPr>
        <w:t xml:space="preserve">Revisions:</w:t>
      </w:r>
      <w:r>
        <w:t xml:space="preserve"> </w:t>
      </w:r>
      <w:r>
        <w:t xml:space="preserve">Up to two (2) rounds of revisions per deliverable are included. Additional revision cycles will be billed at the</w:t>
      </w:r>
      <w:r>
        <w:t xml:space="preserve"> </w:t>
      </w:r>
      <w:r>
        <w:t xml:space="preserve">Business Consultant</w:t>
      </w:r>
      <w:r>
        <w:t xml:space="preserve">'s standard hourly rate of EGP 2,500 per hour.</w:t>
      </w:r>
    </w:p>
    <w:p>
      <w:pPr>
        <w:numPr>
          <w:ilvl w:val="0"/>
          <w:numId w:val="1001"/>
        </w:numPr>
        <w:pStyle w:val="Compact"/>
      </w:pPr>
      <w:r>
        <w:rPr>
          <w:bCs/>
          <w:b/>
        </w:rPr>
        <w:t xml:space="preserve">Termination:</w:t>
      </w:r>
      <w:r>
        <w:t xml:space="preserve"> </w:t>
      </w:r>
      <w:r>
        <w:t xml:space="preserve">Either party may terminate the engagement with fourteen (14) days' written notice. In such case, the client shall pay for all services rendered up to the termination date as outlined in this</w:t>
      </w:r>
      <w:r>
        <w:t xml:space="preserve"> </w:t>
      </w:r>
      <w:r>
        <w:t xml:space="preserve">Quotation Estimate</w:t>
      </w:r>
      <w:r>
        <w:t xml:space="preserve">.</w:t>
      </w:r>
    </w:p>
    <w:bookmarkEnd w:id="25"/>
    <w:bookmarkStart w:id="26" w:name="business-consultant-team-qualifications"/>
    <w:p>
      <w:pPr>
        <w:pStyle w:val="Heading2"/>
      </w:pPr>
      <w:r>
        <w:t xml:space="preserve">4. Business Consultant Team &amp; Qualifications</w:t>
      </w:r>
    </w:p>
    <w:p>
      <w:pPr>
        <w:pStyle w:val="FirstParagraph"/>
      </w:pPr>
      <w:r>
        <w:t xml:space="preserve">The</w:t>
      </w:r>
      <w:r>
        <w:t xml:space="preserve"> </w:t>
      </w:r>
      <w:r>
        <w:t xml:space="preserve">Business Consultant</w:t>
      </w:r>
      <w:r>
        <w:t xml:space="preserve"> </w:t>
      </w:r>
      <w:r>
        <w:t xml:space="preserve">engagement will be led by Dr. Mona El-Sayed (PhD, Business Administration, Cairo University; 18 years of consulting experience in the Egyptian and MENA markets) and supported by a team of four (4) senior analysts specializing in operations, finance, HR, and digital strategy. All team members are based in or regularly operate within</w:t>
      </w:r>
      <w:r>
        <w:t xml:space="preserve"> </w:t>
      </w:r>
      <w:r>
        <w:t xml:space="preserve">Egypt Cairo</w:t>
      </w:r>
      <w:r>
        <w:t xml:space="preserve">, ensuring cultural fluency, regulatory awareness, and immediate on-site availability.</w:t>
      </w:r>
    </w:p>
    <w:bookmarkEnd w:id="26"/>
    <w:bookmarkStart w:id="27" w:name="acceptance-authorization"/>
    <w:p>
      <w:pPr>
        <w:pStyle w:val="Heading2"/>
      </w:pPr>
      <w:r>
        <w:t xml:space="preserve">5. Acceptance &amp; Authorization</w:t>
      </w:r>
    </w:p>
    <w:p>
      <w:pPr>
        <w:pStyle w:val="FirstParagraph"/>
      </w:pPr>
      <w:r>
        <w:t xml:space="preserve">By signing below, the client acknowledges and accepts all terms, conditions, pricing, and scope of work detailed in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to be performed in</w:t>
      </w:r>
      <w:r>
        <w:t xml:space="preserve"> </w:t>
      </w:r>
      <w:r>
        <w:t xml:space="preserve">Egypt Cairo</w:t>
      </w:r>
      <w:r>
        <w:t xml:space="preserve">.</w:t>
      </w:r>
    </w:p>
    <w:p>
      <w:pPr>
        <w:pStyle w:val="BodyText"/>
      </w:pPr>
      <w:r>
        <w:rPr>
          <w:bCs/>
          <w:b/>
        </w:rPr>
        <w:t xml:space="preserve">For Nile Strategic Advisory Group</w:t>
      </w:r>
      <w:r>
        <w:br/>
      </w:r>
      <w:r>
        <w:t xml:space="preserve">Name: Khaled Farouk</w:t>
      </w:r>
      <w:r>
        <w:br/>
      </w:r>
      <w:r>
        <w:t xml:space="preserve">Title: Managing Director</w:t>
      </w:r>
      <w:r>
        <w:br/>
      </w:r>
      <w:r>
        <w:t xml:space="preserve">Date: _______________</w:t>
      </w:r>
    </w:p>
    <w:p>
      <w:pPr>
        <w:pStyle w:val="BodyText"/>
      </w:pPr>
      <w:r>
        <w:rPr>
          <w:bCs/>
          <w:b/>
        </w:rPr>
        <w:t xml:space="preserve">For Al-Nileh Trading &amp; Logistics Co.</w:t>
      </w:r>
      <w:r>
        <w:br/>
      </w:r>
      <w:r>
        <w:t xml:space="preserve">Name: Ahmed Hassan</w:t>
      </w:r>
      <w:r>
        <w:br/>
      </w:r>
      <w:r>
        <w:t xml:space="preserve">Title: Chief Executive Officer</w:t>
      </w:r>
      <w:r>
        <w:br/>
      </w:r>
      <w:r>
        <w:t xml:space="preserve">Date: _______________</w:t>
      </w:r>
    </w:p>
    <w:p>
      <w:pPr>
        <w:pStyle w:val="BodyText"/>
      </w:pPr>
      <w:r>
        <w:t xml:space="preserve">Nile Strategic Advisory Group | Business Consultant Services | Cairo, Egypt</w:t>
      </w:r>
    </w:p>
    <w:p>
      <w:pPr>
        <w:pStyle w:val="BodyText"/>
      </w:pPr>
      <w:r>
        <w:t xml:space="preserve">Quotation Estimate No. QTE-2025-04782 | Page 1 of 1</w:t>
      </w:r>
    </w:p>
    <w:p>
      <w:pPr>
        <w:pStyle w:val="BodyText"/>
      </w:pPr>
      <w:r>
        <w:t xml:space="preserve">This document is confidential and intended solely for the named recipient. Unauthorized distribution is prohibited under Egyptian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Egypt Cairo</dc:title>
  <dc:creator/>
  <dc:language>en</dc:language>
  <cp:keywords/>
  <dcterms:created xsi:type="dcterms:W3CDTF">2026-10-10T03:14:11Z</dcterms:created>
  <dcterms:modified xsi:type="dcterms:W3CDTF">2026-10-10T03:14:11Z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