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business-advisory-plc"/>
    <w:p>
      <w:pPr>
        <w:pStyle w:val="Heading1"/>
      </w:pPr>
      <w:r>
        <w:t xml:space="preserve">Horizon Business Advisory PLC</w:t>
      </w:r>
    </w:p>
    <w:p>
      <w:pPr>
        <w:pStyle w:val="FirstParagraph"/>
      </w:pPr>
      <w:r>
        <w:t xml:space="preserve">Professional Business Consulting &amp; Strategic Advisory Services</w:t>
      </w:r>
    </w:p>
    <w:p>
      <w:pPr>
        <w:pStyle w:val="BodyText"/>
      </w:pPr>
      <w:r>
        <w:t xml:space="preserve">Bole Road, Addis Ababa, Ethiopia | Tel: +251-11-555-0142 | Email: info@horizonadvisory.et</w:t>
      </w:r>
    </w:p>
    <w:p>
      <w:pPr>
        <w:pStyle w:val="BodyText"/>
      </w:pPr>
      <w:r>
        <w:t xml:space="preserve">Tin No: 0012345678 | Commercial Registration: AA/2019/004521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HBA/QE/2025/00347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Ethiopian Birr (ETB)</w:t>
      </w:r>
    </w:p>
    <w:p>
      <w:pPr>
        <w:pStyle w:val="BodyText"/>
      </w:pPr>
      <w:r>
        <w:rPr>
          <w:bCs/>
          <w:b/>
        </w:rPr>
        <w:t xml:space="preserve">Service Location:</w:t>
      </w:r>
      <w:r>
        <w:t xml:space="preserve"> </w:t>
      </w:r>
      <w:r>
        <w:t xml:space="preserve">Ethiopia Addis Ababa</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 PLC</w:t>
      </w:r>
    </w:p>
    <w:p>
      <w:pPr>
        <w:pStyle w:val="BodyText"/>
      </w:pPr>
      <w:r>
        <w:rPr>
          <w:bCs/>
          <w:b/>
        </w:rPr>
        <w:t xml:space="preserve">Address:</w:t>
      </w:r>
      <w:r>
        <w:t xml:space="preserve"> </w:t>
      </w:r>
      <w:r>
        <w:t xml:space="preserve">[Street], Addis Ababa, Ethiopia</w:t>
      </w:r>
    </w:p>
    <w:p>
      <w:pPr>
        <w:pStyle w:val="BodyText"/>
      </w:pPr>
      <w:r>
        <w:rPr>
          <w:bCs/>
          <w:b/>
        </w:rPr>
        <w:t xml:space="preserve">Contact Person:</w:t>
      </w:r>
      <w:r>
        <w:t xml:space="preserve"> </w:t>
      </w:r>
      <w:r>
        <w:t xml:space="preserve">[Name], Managing Director</w:t>
      </w:r>
    </w:p>
    <w:p>
      <w:pPr>
        <w:pStyle w:val="BodyText"/>
      </w:pPr>
      <w:r>
        <w:rPr>
          <w:bCs/>
          <w:b/>
        </w:rPr>
        <w:t xml:space="preserve">Email:</w:t>
      </w:r>
      <w:r>
        <w:t xml:space="preserve"> </w:t>
      </w:r>
      <w:r>
        <w:t xml:space="preserve">[client@email.et]</w:t>
      </w:r>
    </w:p>
    <w:p>
      <w:pPr>
        <w:pStyle w:val="BodyText"/>
      </w:pPr>
      <w:r>
        <w:rPr>
          <w:bCs/>
          <w:b/>
        </w:rPr>
        <w:t xml:space="preserve">Tin No:</w:t>
      </w:r>
      <w:r>
        <w:t xml:space="preserve"> </w:t>
      </w:r>
      <w:r>
        <w:t xml:space="preserve">[Client TIN]</w:t>
      </w:r>
    </w:p>
    <w:bookmarkEnd w:id="22"/>
    <w:bookmarkStart w:id="23"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Horizon Business Advisory PLC, a registered professional services firm operating in</w:t>
      </w:r>
      <w:r>
        <w:t xml:space="preserve"> </w:t>
      </w:r>
      <w:r>
        <w:t xml:space="preserve">Ethiopia Addis Ababa</w:t>
      </w:r>
      <w:r>
        <w:t xml:space="preserve">, to provide a comprehensive and transparent cost breakdown for the engagement of a senior</w:t>
      </w:r>
      <w:r>
        <w:t xml:space="preserve"> </w:t>
      </w:r>
      <w:r>
        <w:t xml:space="preserve">Business Consultant</w:t>
      </w:r>
      <w:r>
        <w:t xml:space="preserve"> </w:t>
      </w:r>
      <w:r>
        <w:t xml:space="preserve">to deliver strategic advisory, operational restructuring, and market expansion services. This document serves as a formal proposal outlining the scope of work, deliverables, timelines, and associated fees for the consulting engagement. All pricing in this</w:t>
      </w:r>
      <w:r>
        <w:t xml:space="preserve"> </w:t>
      </w:r>
      <w:r>
        <w:t xml:space="preserve">Quotation Estimate</w:t>
      </w:r>
      <w:r>
        <w:t xml:space="preserve"> </w:t>
      </w:r>
      <w:r>
        <w:t xml:space="preserve">is quoted in Ethiopian Birr (ETB) and is subject to the terms and conditions stated herein.</w:t>
      </w:r>
    </w:p>
    <w:bookmarkEnd w:id="23"/>
    <w:bookmarkStart w:id="24" w:name="X38c04614c6852dc42671939c78d168ce144be86"/>
    <w:p>
      <w:pPr>
        <w:pStyle w:val="Heading2"/>
      </w:pPr>
      <w:r>
        <w:t xml:space="preserve">2. Scope of Services – Business Consultant Engagement</w:t>
      </w:r>
    </w:p>
    <w:p>
      <w:pPr>
        <w:pStyle w:val="FirstParagraph"/>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provide the following services to the client, all conducted primarily at the client's premises in</w:t>
      </w:r>
      <w:r>
        <w:t xml:space="preserve"> </w:t>
      </w:r>
      <w:r>
        <w:t xml:space="preserve">Ethiopia Addis Ababa</w:t>
      </w:r>
      <w:r>
        <w:t xml:space="preserve"> </w:t>
      </w:r>
      <w:r>
        <w:t xml:space="preserve">and at our firm's office on Bole Road:</w:t>
      </w:r>
    </w:p>
    <w:p>
      <w:pPr>
        <w:numPr>
          <w:ilvl w:val="0"/>
          <w:numId w:val="1001"/>
        </w:numPr>
        <w:pStyle w:val="Compact"/>
      </w:pPr>
      <w:r>
        <w:rPr>
          <w:bCs/>
          <w:b/>
        </w:rPr>
        <w:t xml:space="preserve">Strategic Business Planning:</w:t>
      </w:r>
      <w:r>
        <w:t xml:space="preserve"> </w:t>
      </w:r>
      <w:r>
        <w:t xml:space="preserve">Development of a five-year strategic roadmap aligned with Ethiopia's national economic transformation agenda and the client's sector-specific growth objectives.</w:t>
      </w:r>
    </w:p>
    <w:p>
      <w:pPr>
        <w:numPr>
          <w:ilvl w:val="0"/>
          <w:numId w:val="1001"/>
        </w:numPr>
        <w:pStyle w:val="Compact"/>
      </w:pPr>
      <w:r>
        <w:rPr>
          <w:bCs/>
          <w:b/>
        </w:rPr>
        <w:t xml:space="preserve">Operational Efficiency Audit:</w:t>
      </w:r>
      <w:r>
        <w:t xml:space="preserve"> </w:t>
      </w:r>
      <w:r>
        <w:t xml:space="preserve">Comprehensive review of existing business processes, supply chain logistics, and internal workflows to identify bottlenecks and recommend cost-saving measures.</w:t>
      </w:r>
    </w:p>
    <w:p>
      <w:pPr>
        <w:numPr>
          <w:ilvl w:val="0"/>
          <w:numId w:val="1001"/>
        </w:numPr>
        <w:pStyle w:val="Compact"/>
      </w:pPr>
      <w:r>
        <w:rPr>
          <w:bCs/>
          <w:b/>
        </w:rPr>
        <w:t xml:space="preserve">Market Entry &amp; Expansion Analysis:</w:t>
      </w:r>
      <w:r>
        <w:t xml:space="preserve"> </w:t>
      </w:r>
      <w:r>
        <w:t xml:space="preserve">Feasibility study for expanding operations into regional markets within Ethiopia, including regulatory compliance assessment under Ethiopian Commercial Law and the Ethiopian Investment Commission guidelines.</w:t>
      </w:r>
    </w:p>
    <w:p>
      <w:pPr>
        <w:numPr>
          <w:ilvl w:val="0"/>
          <w:numId w:val="1001"/>
        </w:numPr>
        <w:pStyle w:val="Compact"/>
      </w:pPr>
      <w:r>
        <w:rPr>
          <w:bCs/>
          <w:b/>
        </w:rPr>
        <w:t xml:space="preserve">Financial Modeling &amp; Forecasting:</w:t>
      </w:r>
      <w:r>
        <w:t xml:space="preserve"> </w:t>
      </w:r>
      <w:r>
        <w:t xml:space="preserve">Construction of detailed financial projections, cash flow models, and break-even analyses to support investment decisions and bank financing applications.</w:t>
      </w:r>
    </w:p>
    <w:p>
      <w:pPr>
        <w:numPr>
          <w:ilvl w:val="0"/>
          <w:numId w:val="1001"/>
        </w:numPr>
        <w:pStyle w:val="Compact"/>
      </w:pPr>
      <w:r>
        <w:rPr>
          <w:bCs/>
          <w:b/>
        </w:rPr>
        <w:t xml:space="preserve">Organizational Development:</w:t>
      </w:r>
      <w:r>
        <w:t xml:space="preserve"> </w:t>
      </w:r>
      <w:r>
        <w:t xml:space="preserve">Design of an optimized organizational structure, role definitions, and performance management frameworks tailored to the Ethiopian business environment.</w:t>
      </w:r>
    </w:p>
    <w:p>
      <w:pPr>
        <w:numPr>
          <w:ilvl w:val="0"/>
          <w:numId w:val="1001"/>
        </w:numPr>
        <w:pStyle w:val="Compact"/>
      </w:pPr>
      <w:r>
        <w:rPr>
          <w:bCs/>
          <w:b/>
        </w:rPr>
        <w:t xml:space="preserve">Stakeholder &amp; Government Relations Advisory:</w:t>
      </w:r>
      <w:r>
        <w:t xml:space="preserve"> </w:t>
      </w:r>
      <w:r>
        <w:t xml:space="preserve">Guidance on navigating regulatory requirements, licensing, and engagement with relevant Ethiopian government agencies and trade associations in Addis Ababa.</w:t>
      </w:r>
    </w:p>
    <w:p>
      <w:pPr>
        <w:numPr>
          <w:ilvl w:val="0"/>
          <w:numId w:val="1001"/>
        </w:numPr>
        <w:pStyle w:val="Compact"/>
      </w:pPr>
      <w:r>
        <w:rPr>
          <w:bCs/>
          <w:b/>
        </w:rPr>
        <w:t xml:space="preserve">Training &amp; Capacity Building:</w:t>
      </w:r>
      <w:r>
        <w:t xml:space="preserve"> </w:t>
      </w:r>
      <w:r>
        <w:t xml:space="preserve">Delivery of two (2) full-day workshops for the client's senior management team on strategic leadership and change management.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(ETB)</w:t>
            </w:r>
          </w:p>
        </w:tc>
        <w:tc>
          <w:tcPr/>
          <w:p>
            <w:pPr>
              <w:pStyle w:val="Compact"/>
              <w:jc w:val="left"/>
            </w:pPr>
            <w:r>
              <w:t xml:space="preserve">Total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Strategic Business Planning &amp; Roadmap Development</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Fixed fee</w:t>
            </w:r>
          </w:p>
        </w:tc>
      </w:tr>
      <w:tr>
        <w:tc>
          <w:tcPr/>
          <w:p>
            <w:pPr>
              <w:pStyle w:val="Compact"/>
              <w:jc w:val="left"/>
            </w:pPr>
            <w:r>
              <w:t xml:space="preserve">2</w:t>
            </w:r>
          </w:p>
        </w:tc>
        <w:tc>
          <w:tcPr/>
          <w:p>
            <w:pPr>
              <w:pStyle w:val="Compact"/>
              <w:jc w:val="left"/>
            </w:pPr>
            <w:r>
              <w:t xml:space="preserve">Operational Efficiency Audit &amp; Recommendations</w:t>
            </w:r>
          </w:p>
        </w:tc>
        <w:tc>
          <w:tcPr/>
          <w:p>
            <w:pPr>
              <w:pStyle w:val="Compact"/>
              <w:jc w:val="left"/>
            </w:pPr>
            <w:r>
              <w:t xml:space="preserve">2 weeks</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Fixed fee</w:t>
            </w:r>
          </w:p>
        </w:tc>
      </w:tr>
      <w:tr>
        <w:tc>
          <w:tcPr/>
          <w:p>
            <w:pPr>
              <w:pStyle w:val="Compact"/>
              <w:jc w:val="left"/>
            </w:pPr>
            <w:r>
              <w:t xml:space="preserve">3</w:t>
            </w:r>
          </w:p>
        </w:tc>
        <w:tc>
          <w:tcPr/>
          <w:p>
            <w:pPr>
              <w:pStyle w:val="Compact"/>
              <w:jc w:val="left"/>
            </w:pPr>
            <w:r>
              <w:t xml:space="preserve">Market Entry &amp; Expansion Feasibility Study</w:t>
            </w:r>
          </w:p>
        </w:tc>
        <w:tc>
          <w:tcPr/>
          <w:p>
            <w:pPr>
              <w:pStyle w:val="Compact"/>
              <w:jc w:val="left"/>
            </w:pPr>
            <w:r>
              <w:t xml:space="preserve">3 weeks</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Fixed fee</w:t>
            </w:r>
          </w:p>
        </w:tc>
      </w:tr>
      <w:tr>
        <w:tc>
          <w:tcPr/>
          <w:p>
            <w:pPr>
              <w:pStyle w:val="Compact"/>
              <w:jc w:val="left"/>
            </w:pPr>
            <w:r>
              <w:t xml:space="preserve">4</w:t>
            </w:r>
          </w:p>
        </w:tc>
        <w:tc>
          <w:tcPr/>
          <w:p>
            <w:pPr>
              <w:pStyle w:val="Compact"/>
              <w:jc w:val="left"/>
            </w:pPr>
            <w:r>
              <w:t xml:space="preserve">Financial Modeling &amp; Forecasting Package</w:t>
            </w:r>
          </w:p>
        </w:tc>
        <w:tc>
          <w:tcPr/>
          <w:p>
            <w:pPr>
              <w:pStyle w:val="Compact"/>
              <w:jc w:val="left"/>
            </w:pPr>
            <w:r>
              <w:t xml:space="preserve">2 weeks</w:t>
            </w:r>
          </w:p>
        </w:tc>
        <w:tc>
          <w:tcPr/>
          <w:p>
            <w:pPr>
              <w:pStyle w:val="Compact"/>
              <w:jc w:val="left"/>
            </w:pPr>
            <w:r>
              <w:t xml:space="preserve">160,000</w:t>
            </w:r>
          </w:p>
        </w:tc>
        <w:tc>
          <w:tcPr/>
          <w:p>
            <w:pPr>
              <w:pStyle w:val="Compact"/>
              <w:jc w:val="left"/>
            </w:pPr>
            <w:r>
              <w:t xml:space="preserve">160,000</w:t>
            </w:r>
          </w:p>
        </w:tc>
        <w:tc>
          <w:tcPr/>
          <w:p>
            <w:pPr>
              <w:pStyle w:val="Compact"/>
              <w:jc w:val="left"/>
            </w:pPr>
            <w:r>
              <w:t xml:space="preserve">Fixed fee</w:t>
            </w:r>
          </w:p>
        </w:tc>
      </w:tr>
      <w:tr>
        <w:tc>
          <w:tcPr/>
          <w:p>
            <w:pPr>
              <w:pStyle w:val="Compact"/>
              <w:jc w:val="left"/>
            </w:pPr>
            <w:r>
              <w:t xml:space="preserve">5</w:t>
            </w:r>
          </w:p>
        </w:tc>
        <w:tc>
          <w:tcPr/>
          <w:p>
            <w:pPr>
              <w:pStyle w:val="Compact"/>
              <w:jc w:val="left"/>
            </w:pPr>
            <w:r>
              <w:t xml:space="preserve">Organizational Development &amp; Structure Design</w:t>
            </w:r>
          </w:p>
        </w:tc>
        <w:tc>
          <w:tcPr/>
          <w:p>
            <w:pPr>
              <w:pStyle w:val="Compact"/>
              <w:jc w:val="left"/>
            </w:pPr>
            <w:r>
              <w:t xml:space="preserve">2 weeks</w:t>
            </w:r>
          </w:p>
        </w:tc>
        <w:tc>
          <w:tcPr/>
          <w:p>
            <w:pPr>
              <w:pStyle w:val="Compact"/>
              <w:jc w:val="left"/>
            </w:pPr>
            <w:r>
              <w:t xml:space="preserve">130,000</w:t>
            </w:r>
          </w:p>
        </w:tc>
        <w:tc>
          <w:tcPr/>
          <w:p>
            <w:pPr>
              <w:pStyle w:val="Compact"/>
              <w:jc w:val="left"/>
            </w:pPr>
            <w:r>
              <w:t xml:space="preserve">130,000</w:t>
            </w:r>
          </w:p>
        </w:tc>
        <w:tc>
          <w:tcPr/>
          <w:p>
            <w:pPr>
              <w:pStyle w:val="Compact"/>
              <w:jc w:val="left"/>
            </w:pPr>
            <w:r>
              <w:t xml:space="preserve">Fixed fee</w:t>
            </w:r>
          </w:p>
        </w:tc>
      </w:tr>
      <w:tr>
        <w:tc>
          <w:tcPr/>
          <w:p>
            <w:pPr>
              <w:pStyle w:val="Compact"/>
              <w:jc w:val="left"/>
            </w:pPr>
            <w:r>
              <w:t xml:space="preserve">6</w:t>
            </w:r>
          </w:p>
        </w:tc>
        <w:tc>
          <w:tcPr/>
          <w:p>
            <w:pPr>
              <w:pStyle w:val="Compact"/>
              <w:jc w:val="left"/>
            </w:pPr>
            <w:r>
              <w:t xml:space="preserve">Stakeholder &amp; Government Relations Advisory</w:t>
            </w:r>
          </w:p>
        </w:tc>
        <w:tc>
          <w:tcPr/>
          <w:p>
            <w:pPr>
              <w:pStyle w:val="Compact"/>
              <w:jc w:val="left"/>
            </w:pPr>
            <w:r>
              <w:t xml:space="preserve">Ongoing (12 weeks)</w:t>
            </w:r>
          </w:p>
        </w:tc>
        <w:tc>
          <w:tcPr/>
          <w:p>
            <w:pPr>
              <w:pStyle w:val="Compact"/>
              <w:jc w:val="left"/>
            </w:pPr>
            <w:r>
              <w:t xml:space="preserve">45,000/mo</w:t>
            </w:r>
          </w:p>
        </w:tc>
        <w:tc>
          <w:tcPr/>
          <w:p>
            <w:pPr>
              <w:pStyle w:val="Compact"/>
              <w:jc w:val="left"/>
            </w:pPr>
            <w:r>
              <w:t xml:space="preserve">135,000</w:t>
            </w:r>
          </w:p>
        </w:tc>
        <w:tc>
          <w:tcPr/>
          <w:p>
            <w:pPr>
              <w:pStyle w:val="Compact"/>
              <w:jc w:val="left"/>
            </w:pPr>
            <w:r>
              <w:t xml:space="preserve">Monthly retainer</w:t>
            </w:r>
          </w:p>
        </w:tc>
      </w:tr>
      <w:tr>
        <w:tc>
          <w:tcPr/>
          <w:p>
            <w:pPr>
              <w:pStyle w:val="Compact"/>
              <w:jc w:val="left"/>
            </w:pPr>
            <w:r>
              <w:t xml:space="preserve">7</w:t>
            </w:r>
          </w:p>
        </w:tc>
        <w:tc>
          <w:tcPr/>
          <w:p>
            <w:pPr>
              <w:pStyle w:val="Compact"/>
              <w:jc w:val="left"/>
            </w:pPr>
            <w:r>
              <w:t xml:space="preserve">Training &amp; Capacity Building Workshops (2 days)</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Incl. materials</w:t>
            </w:r>
          </w:p>
        </w:tc>
      </w:tr>
      <w:tr>
        <w:tc>
          <w:tcPr/>
          <w:p>
            <w:pPr>
              <w:pStyle w:val="Compact"/>
              <w:jc w:val="left"/>
            </w:pPr>
            <w:r>
              <w:t xml:space="preserve">8</w:t>
            </w:r>
          </w:p>
        </w:tc>
        <w:tc>
          <w:tcPr/>
          <w:p>
            <w:pPr>
              <w:pStyle w:val="Compact"/>
              <w:jc w:val="left"/>
            </w:pPr>
            <w:r>
              <w:t xml:space="preserve">Travel, Local Transport &amp; Field Visits within Addis Ababa</w:t>
            </w:r>
          </w:p>
        </w:tc>
        <w:tc>
          <w:tcPr/>
          <w:p>
            <w:pPr>
              <w:pStyle w:val="Compact"/>
              <w:jc w:val="left"/>
            </w:pPr>
            <w:r>
              <w:t xml:space="preserve">Entire period</w:t>
            </w:r>
          </w:p>
        </w:tc>
        <w:tc>
          <w:tcPr/>
          <w:p>
            <w:pPr>
              <w:pStyle w:val="Compact"/>
              <w:jc w:val="left"/>
            </w:pPr>
            <w:r>
              <w:t xml:space="preserve">—</w:t>
            </w:r>
          </w:p>
        </w:tc>
        <w:tc>
          <w:tcPr/>
          <w:p>
            <w:pPr>
              <w:pStyle w:val="Compact"/>
              <w:jc w:val="left"/>
            </w:pPr>
            <w:r>
              <w:t xml:space="preserve">45,000</w:t>
            </w:r>
          </w:p>
        </w:tc>
        <w:tc>
          <w:tcPr/>
          <w:p>
            <w:pPr>
              <w:pStyle w:val="Compact"/>
              <w:jc w:val="left"/>
            </w:pPr>
            <w:r>
              <w:t xml:space="preserve">Estimated</w:t>
            </w:r>
          </w:p>
        </w:tc>
      </w:tr>
      <w:tr>
        <w:tc>
          <w:tcPr/>
          <w:p>
            <w:pPr>
              <w:pStyle w:val="Compact"/>
              <w:jc w:val="left"/>
            </w:pPr>
            <w:r>
              <w:t xml:space="preserve">9</w:t>
            </w:r>
          </w:p>
        </w:tc>
        <w:tc>
          <w:tcPr/>
          <w:p>
            <w:pPr>
              <w:pStyle w:val="Compact"/>
              <w:jc w:val="left"/>
            </w:pPr>
            <w:r>
              <w:t xml:space="preserve">Project Management &amp; Coordination (10% of subtotal)</w:t>
            </w:r>
          </w:p>
        </w:tc>
        <w:tc>
          <w:tcPr/>
          <w:p>
            <w:pPr>
              <w:pStyle w:val="Compact"/>
              <w:jc w:val="left"/>
            </w:pPr>
            <w:r>
              <w:t xml:space="preserve">Entire period</w:t>
            </w:r>
          </w:p>
        </w:tc>
        <w:tc>
          <w:tcPr/>
          <w:p>
            <w:pPr>
              <w:pStyle w:val="Compact"/>
              <w:jc w:val="left"/>
            </w:pPr>
            <w:r>
              <w:t xml:space="preserve">—</w:t>
            </w:r>
          </w:p>
        </w:tc>
        <w:tc>
          <w:tcPr/>
          <w:p>
            <w:pPr>
              <w:pStyle w:val="Compact"/>
              <w:jc w:val="left"/>
            </w:pPr>
            <w:r>
              <w:t xml:space="preserve">110,500</w:t>
            </w:r>
          </w:p>
        </w:tc>
        <w:tc>
          <w:tcPr/>
          <w:p>
            <w:pPr>
              <w:pStyle w:val="Compact"/>
              <w:jc w:val="left"/>
            </w:pPr>
            <w:r>
              <w:t xml:space="preserve">Calculated</w:t>
            </w:r>
          </w:p>
        </w:tc>
      </w:tr>
      <w:tr>
        <w:tc>
          <w:tcPr>
            <w:gridSpan w:val="4"/>
          </w:tcPr>
          <w:p>
            <w:pPr>
              <w:pStyle w:val="Compact"/>
              <w:jc w:val="right"/>
            </w:pPr>
            <w:r>
              <w:t xml:space="preserve">Subtotal (ETB)</w:t>
            </w:r>
          </w:p>
        </w:tc>
        <w:tc>
          <w:tcPr/>
          <w:p>
            <w:pPr>
              <w:pStyle w:val="Compact"/>
              <w:jc w:val="left"/>
            </w:pPr>
            <w:r>
              <w:t xml:space="preserve">1,215,500</w:t>
            </w:r>
          </w:p>
        </w:tc>
        <w:tc>
          <w:tcPr/>
          <w:p>
            <w:pPr>
              <w:pStyle w:val="Compact"/>
            </w:pPr>
          </w:p>
        </w:tc>
      </w:tr>
      <w:tr>
        <w:tc>
          <w:tcPr>
            <w:gridSpan w:val="4"/>
          </w:tcPr>
          <w:p>
            <w:pPr>
              <w:pStyle w:val="Compact"/>
              <w:jc w:val="right"/>
            </w:pPr>
            <w:r>
              <w:t xml:space="preserve">VAT (15% – Ethiopian Standard Rate)</w:t>
            </w:r>
          </w:p>
        </w:tc>
        <w:tc>
          <w:tcPr/>
          <w:p>
            <w:pPr>
              <w:pStyle w:val="Compact"/>
              <w:jc w:val="left"/>
            </w:pPr>
            <w:r>
              <w:t xml:space="preserve">182,325</w:t>
            </w:r>
          </w:p>
        </w:tc>
        <w:tc>
          <w:tcPr/>
          <w:p>
            <w:pPr>
              <w:pStyle w:val="Compact"/>
            </w:pPr>
          </w:p>
        </w:tc>
      </w:tr>
      <w:tr>
        <w:tc>
          <w:tcPr>
            <w:gridSpan w:val="4"/>
          </w:tcPr>
          <w:p>
            <w:pPr>
              <w:pStyle w:val="Compact"/>
              <w:jc w:val="right"/>
            </w:pPr>
            <w:r>
              <w:t xml:space="preserve">GRAND TOTAL (ETB)</w:t>
            </w:r>
          </w:p>
        </w:tc>
        <w:tc>
          <w:tcPr/>
          <w:p>
            <w:pPr>
              <w:pStyle w:val="Compact"/>
              <w:jc w:val="left"/>
            </w:pPr>
            <w:r>
              <w:t xml:space="preserve">1,397,825</w:t>
            </w:r>
          </w:p>
        </w:tc>
        <w:tc>
          <w:tcPr/>
          <w:p>
            <w:pPr>
              <w:pStyle w:val="Compact"/>
            </w:pPr>
          </w:p>
        </w:tc>
      </w:tr>
    </w:tbl>
    <w:p>
      <w:pPr>
        <w:pStyle w:val="BodyText"/>
      </w:pPr>
      <w:r>
        <w:rPr>
          <w:iCs/>
          <w:i/>
        </w:rPr>
        <w:t xml:space="preserve">Note: All amounts are in Ethiopian Birr (ETB). The 15% VAT is applied in accordance with the Ethiopian Revenue and Customs Authority (ERCA) regulations. This Quotation Estimate does not include international travel, accommodation, or third-party data licensing fees, which will be billed at actual cost if required.</w:t>
      </w:r>
    </w:p>
    <w:bookmarkEnd w:id="25"/>
    <w:bookmarkStart w:id="26" w:name="project-timeline"/>
    <w:p>
      <w:pPr>
        <w:pStyle w:val="Heading2"/>
      </w:pPr>
      <w:r>
        <w:t xml:space="preserve">4. Project Timeline</w:t>
      </w:r>
    </w:p>
    <w:p>
      <w:pPr>
        <w:pStyle w:val="FirstParagraph"/>
      </w:pPr>
      <w:r>
        <w:t xml:space="preserve">The total estimated duration of the</w:t>
      </w:r>
      <w:r>
        <w:t xml:space="preserve"> </w:t>
      </w:r>
      <w:r>
        <w:t xml:space="preserve">Business Consultant</w:t>
      </w:r>
      <w:r>
        <w:t xml:space="preserve"> </w:t>
      </w:r>
      <w:r>
        <w:t xml:space="preserve">engagement is</w:t>
      </w:r>
      <w:r>
        <w:t xml:space="preserve"> </w:t>
      </w:r>
      <w:r>
        <w:rPr>
          <w:bCs/>
          <w:b/>
        </w:rPr>
        <w:t xml:space="preserve">twelve (12) weeks</w:t>
      </w:r>
      <w:r>
        <w:t xml:space="preserve"> </w:t>
      </w:r>
      <w:r>
        <w:t xml:space="preserve">from the date of contract execution. The project will be executed in</w:t>
      </w:r>
      <w:r>
        <w:t xml:space="preserve"> </w:t>
      </w:r>
      <w:r>
        <w:t xml:space="preserve">Ethiopia Addis Ababa</w:t>
      </w:r>
      <w:r>
        <w:t xml:space="preserve">, with the consultant dedicating a minimum of five (5) working days per week on-site. A detailed Gantt chart and milestone schedule will be provided within the first week of engagement.</w:t>
      </w:r>
    </w:p>
    <w:bookmarkEnd w:id="26"/>
    <w:bookmarkStart w:id="27" w:name="payment-terms-schedule"/>
    <w:p>
      <w:pPr>
        <w:pStyle w:val="Heading2"/>
      </w:pPr>
      <w:r>
        <w:t xml:space="preserve">5. Payment Terms &amp; Schedule</w:t>
      </w:r>
    </w:p>
    <w:p>
      <w:pPr>
        <w:numPr>
          <w:ilvl w:val="0"/>
          <w:numId w:val="1002"/>
        </w:numPr>
        <w:pStyle w:val="Compact"/>
      </w:pPr>
      <w:r>
        <w:rPr>
          <w:bCs/>
          <w:b/>
        </w:rPr>
        <w:t xml:space="preserve">Advance Payment (30%):</w:t>
      </w:r>
      <w:r>
        <w:t xml:space="preserve"> </w:t>
      </w:r>
      <w:r>
        <w:t xml:space="preserve">ETB 419,347.50 – Due upon signing of the service agreement and issuance of this Quotation Estimate acceptance.</w:t>
      </w:r>
    </w:p>
    <w:p>
      <w:pPr>
        <w:numPr>
          <w:ilvl w:val="0"/>
          <w:numId w:val="1002"/>
        </w:numPr>
        <w:pStyle w:val="Compact"/>
      </w:pPr>
      <w:r>
        <w:rPr>
          <w:bCs/>
          <w:b/>
        </w:rPr>
        <w:t xml:space="preserve">Milestone Payment 1 (25%):</w:t>
      </w:r>
      <w:r>
        <w:t xml:space="preserve"> </w:t>
      </w:r>
      <w:r>
        <w:t xml:space="preserve">ETB 349,456.25 – Due upon delivery of the Strategic Business Plan and Operational Audit Report (Week 6).</w:t>
      </w:r>
    </w:p>
    <w:p>
      <w:pPr>
        <w:numPr>
          <w:ilvl w:val="0"/>
          <w:numId w:val="1002"/>
        </w:numPr>
        <w:pStyle w:val="Compact"/>
      </w:pPr>
      <w:r>
        <w:rPr>
          <w:bCs/>
          <w:b/>
        </w:rPr>
        <w:t xml:space="preserve">Milestone Payment 2 (25%):</w:t>
      </w:r>
      <w:r>
        <w:t xml:space="preserve"> </w:t>
      </w:r>
      <w:r>
        <w:t xml:space="preserve">ETB 349,456.25 – Due upon delivery of the Market Feasibility Study and Financial Models (Week 9).</w:t>
      </w:r>
    </w:p>
    <w:p>
      <w:pPr>
        <w:numPr>
          <w:ilvl w:val="0"/>
          <w:numId w:val="1002"/>
        </w:numPr>
        <w:pStyle w:val="Compact"/>
      </w:pPr>
      <w:r>
        <w:rPr>
          <w:bCs/>
          <w:b/>
        </w:rPr>
        <w:t xml:space="preserve">Final Payment (20%):</w:t>
      </w:r>
      <w:r>
        <w:t xml:space="preserve"> </w:t>
      </w:r>
      <w:r>
        <w:t xml:space="preserve">ETB 279,565.00 – Due upon final project handover, submission of all deliverables, and completion of training workshops (Week 12).</w:t>
      </w:r>
    </w:p>
    <w:p>
      <w:pPr>
        <w:pStyle w:val="FirstParagraph"/>
      </w:pPr>
      <w:r>
        <w:t xml:space="preserve">Payments shall be made via bank transfer to Horizon Business Advisory PLC, Commercial Bank of Ethiopia, Branch: Bole, Account No: [XXXX-XXXX-XXXX]. Invoices will be issued in accordance with Ethiopian tax regulations.</w:t>
      </w:r>
    </w:p>
    <w:bookmarkEnd w:id="27"/>
    <w:bookmarkStart w:id="28"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w:t>
      </w:r>
      <w:r>
        <w:t xml:space="preserve"> </w:t>
      </w:r>
      <w:r>
        <w:t xml:space="preserve">Ethiopia Addis Ababa</w:t>
      </w:r>
      <w:r>
        <w:t xml:space="preserve">.</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of all client data, trade secrets, and proprietary information in compliance with Ethiopian data protection and commercial confidentiality laws.</w:t>
      </w:r>
    </w:p>
    <w:p>
      <w:pPr>
        <w:numPr>
          <w:ilvl w:val="0"/>
          <w:numId w:val="1003"/>
        </w:numPr>
        <w:pStyle w:val="Compact"/>
      </w:pPr>
      <w:r>
        <w:t xml:space="preserve">Any scope changes or additional services beyond those listed in this Quotation Estimate will require a written change order signed by both parties before work commences.</w:t>
      </w:r>
    </w:p>
    <w:p>
      <w:pPr>
        <w:numPr>
          <w:ilvl w:val="0"/>
          <w:numId w:val="1003"/>
        </w:numPr>
        <w:pStyle w:val="Compact"/>
      </w:pPr>
      <w:r>
        <w:t xml:space="preserve">The client agrees to provide timely access to relevant personnel, documents, and facilities necessary for the consultant to perform the engagement effectively.</w:t>
      </w:r>
    </w:p>
    <w:p>
      <w:pPr>
        <w:numPr>
          <w:ilvl w:val="0"/>
          <w:numId w:val="1003"/>
        </w:numPr>
        <w:pStyle w:val="Compact"/>
      </w:pPr>
      <w:r>
        <w:t xml:space="preserve">Disputes arising from this engagement shall be resolved through amicable negotiation. If unresolved, matters shall be referred to the competent commercial courts in Addis Ababa, Ethiopia, in accordance with the Ethiopian Civil Code and Commercial Code.</w:t>
      </w:r>
    </w:p>
    <w:p>
      <w:pPr>
        <w:numPr>
          <w:ilvl w:val="0"/>
          <w:numId w:val="1003"/>
        </w:numPr>
        <w:pStyle w:val="Compact"/>
      </w:pPr>
      <w:r>
        <w:t xml:space="preserve">Intellectual property in deliverables (reports, models, frameworks) shall transfer to the client upon full payment. The consultant retains the right to use anonymized case studies for professional development purposes.</w:t>
      </w:r>
    </w:p>
    <w:p>
      <w:pPr>
        <w:numPr>
          <w:ilvl w:val="0"/>
          <w:numId w:val="1003"/>
        </w:numPr>
        <w:pStyle w:val="Compact"/>
      </w:pPr>
      <w:r>
        <w:t xml:space="preserve">This Quotation Estimate does not constitute a binding contract until a formal Service Agreement is executed by both parties.</w:t>
      </w:r>
    </w:p>
    <w:bookmarkEnd w:id="28"/>
    <w:bookmarkStart w:id="29"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Business Consultant</w:t>
      </w:r>
      <w:r>
        <w:t xml:space="preserve"> </w:t>
      </w:r>
      <w:r>
        <w:t xml:space="preserve">in</w:t>
      </w:r>
      <w:r>
        <w:t xml:space="preserve"> </w:t>
      </w:r>
      <w:r>
        <w:t xml:space="preserve">Ethiopia Addis Ababa</w:t>
      </w:r>
      <w:r>
        <w:t xml:space="preserve">.</w:t>
      </w:r>
    </w:p>
    <w:p>
      <w:pPr>
        <w:pStyle w:val="BodyText"/>
      </w:pPr>
      <w:r>
        <w:rPr>
          <w:bCs/>
          <w:b/>
        </w:rPr>
        <w:t xml:space="preserve">For: Horizon Business Advisory PLC</w:t>
      </w:r>
    </w:p>
    <w:p>
      <w:pPr>
        <w:pStyle w:val="BodyText"/>
      </w:pPr>
      <w:r>
        <w:t xml:space="preserve">(Consultant / Service Provider)</w:t>
      </w:r>
    </w:p>
    <w:p>
      <w:pPr>
        <w:pStyle w:val="BodyText"/>
      </w:pPr>
      <w:r>
        <w:t xml:space="preserve">Name: _________________________</w:t>
      </w:r>
      <w:r>
        <w:br/>
      </w:r>
      <w:r>
        <w:t xml:space="preserve">Title: Lead Business Consultant</w:t>
      </w:r>
      <w:r>
        <w:br/>
      </w:r>
      <w:r>
        <w:t xml:space="preserve">Signature &amp; Date: _______________</w:t>
      </w:r>
    </w:p>
    <w:p>
      <w:pPr>
        <w:pStyle w:val="BodyText"/>
      </w:pPr>
      <w:r>
        <w:rPr>
          <w:bCs/>
          <w:b/>
        </w:rPr>
        <w:t xml:space="preserve">For: [Client Company Name] PLC</w:t>
      </w:r>
    </w:p>
    <w:p>
      <w:pPr>
        <w:pStyle w:val="BodyText"/>
      </w:pPr>
      <w:r>
        <w:t xml:space="preserve">(Client / Service Recipient)</w:t>
      </w:r>
    </w:p>
    <w:p>
      <w:pPr>
        <w:pStyle w:val="BodyText"/>
      </w:pPr>
      <w:r>
        <w:t xml:space="preserve">Name: _________________________</w:t>
      </w:r>
      <w:r>
        <w:br/>
      </w:r>
      <w:r>
        <w:t xml:space="preserve">Title: Managing Director</w:t>
      </w:r>
      <w:r>
        <w:br/>
      </w:r>
      <w:r>
        <w:t xml:space="preserve">Signature &amp; Date: _______________</w:t>
      </w:r>
    </w:p>
    <w:bookmarkEnd w:id="29"/>
    <w:p>
      <w:pPr>
        <w:pStyle w:val="BodyText"/>
      </w:pPr>
      <w:r>
        <w:rPr>
          <w:bCs/>
          <w:b/>
        </w:rPr>
        <w:t xml:space="preserve">Horizon Business Advisory PLC</w:t>
      </w:r>
      <w:r>
        <w:t xml:space="preserve"> </w:t>
      </w:r>
      <w:r>
        <w:t xml:space="preserve">| Bole Road, Addis Ababa, Ethiopia | Tel: +251-11-555-0142</w:t>
      </w:r>
      <w:r>
        <w:br/>
      </w:r>
      <w:r>
        <w:t xml:space="preserve">This Quotation Estimate was prepared exclusively for the named client and is non-transferable. Document Ref: HBA/QE/2025/00347</w:t>
      </w:r>
      <w:r>
        <w:br/>
      </w:r>
      <w:r>
        <w:t xml:space="preserve">© 2025 Horizon Business Advisory PLC.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Ethiopia Addis Ababa</dc:title>
  <dc:creator/>
  <dc:language>en</dc:language>
  <cp:keywords/>
  <dcterms:created xsi:type="dcterms:W3CDTF">2026-10-10T04:13:31Z</dcterms:created>
  <dcterms:modified xsi:type="dcterms:W3CDTF">2026-10-10T04:13:31Z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