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strategy-consulting-sarl"/>
    <w:p>
      <w:pPr>
        <w:pStyle w:val="Heading1"/>
      </w:pPr>
      <w:r>
        <w:t xml:space="preserve">Provence Strategy Consulting SARL</w:t>
      </w:r>
    </w:p>
    <w:p>
      <w:pPr>
        <w:pStyle w:val="FirstParagraph"/>
      </w:pPr>
      <w:r>
        <w:t xml:space="preserve">12 Boulevard du Littoral, 13007 Marseille, France</w:t>
      </w:r>
    </w:p>
    <w:p>
      <w:pPr>
        <w:pStyle w:val="BodyText"/>
      </w:pPr>
      <w:r>
        <w:t xml:space="preserve">Tel: +33 (0)4 91 00 00 00 | Email: contact@provence-strategy.fr</w:t>
      </w:r>
    </w:p>
    <w:p>
      <w:pPr>
        <w:pStyle w:val="BodyText"/>
      </w:pPr>
      <w:r>
        <w:t xml:space="preserve">SIRET: 842 567 891 00012 | TVA: FR 45 842567891</w:t>
      </w:r>
    </w:p>
    <w:bookmarkEnd w:id="20"/>
    <w:bookmarkStart w:id="21" w:name="quotation-estimate"/>
    <w:p>
      <w:pPr>
        <w:pStyle w:val="Heading2"/>
      </w:pPr>
      <w:r>
        <w:t xml:space="preserve">QUOTATION ESTIMATE</w:t>
      </w:r>
    </w:p>
    <w:p>
      <w:pPr>
        <w:pStyle w:val="FirstParagraph"/>
      </w:pPr>
      <w:r>
        <w:t xml:space="preserve">Reference: QTE-2025-0417-MRS</w:t>
      </w:r>
    </w:p>
    <w:p>
      <w:pPr>
        <w:pStyle w:val="BodyText"/>
      </w:pPr>
      <w:r>
        <w:t xml:space="preserve">Date: 17 June 2025</w:t>
      </w:r>
    </w:p>
    <w:p>
      <w:pPr>
        <w:pStyle w:val="BodyText"/>
      </w:pPr>
      <w:r>
        <w:t xml:space="preserve">Valid Until: 17 July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Méditerranée Industries SA</w:t>
      </w:r>
    </w:p>
    <w:p>
      <w:pPr>
        <w:pStyle w:val="BodyText"/>
      </w:pPr>
      <w:r>
        <w:rPr>
          <w:bCs/>
          <w:b/>
        </w:rPr>
        <w:t xml:space="preserve">Address:</w:t>
      </w:r>
      <w:r>
        <w:t xml:space="preserve"> </w:t>
      </w:r>
      <w:r>
        <w:t xml:space="preserve">45 Rue de la République, 13001 Marseille, France</w:t>
      </w:r>
    </w:p>
    <w:p>
      <w:pPr>
        <w:pStyle w:val="BodyText"/>
      </w:pPr>
      <w:r>
        <w:rPr>
          <w:bCs/>
          <w:b/>
        </w:rPr>
        <w:t xml:space="preserve">Contact:</w:t>
      </w:r>
      <w:r>
        <w:t xml:space="preserve"> </w:t>
      </w:r>
      <w:r>
        <w:t xml:space="preserve">Mr. Laurent Dubois, CEO</w:t>
      </w:r>
    </w:p>
    <w:p>
      <w:pPr>
        <w:pStyle w:val="BodyText"/>
      </w:pPr>
      <w:r>
        <w:rPr>
          <w:bCs/>
          <w:b/>
        </w:rPr>
        <w:t xml:space="preserve">Email:</w:t>
      </w:r>
      <w:r>
        <w:t xml:space="preserve"> </w:t>
      </w:r>
      <w:r>
        <w:t xml:space="preserve">l.dubois@med-industries.fr</w:t>
      </w:r>
    </w:p>
    <w:bookmarkEnd w:id="22"/>
    <w:bookmarkStart w:id="23" w:name="prepared-by-consultant"/>
    <w:p>
      <w:pPr>
        <w:pStyle w:val="Heading3"/>
      </w:pPr>
      <w:r>
        <w:t xml:space="preserve">Prepared By (Consultant)</w:t>
      </w:r>
    </w:p>
    <w:p>
      <w:pPr>
        <w:pStyle w:val="FirstParagraph"/>
      </w:pPr>
      <w:r>
        <w:rPr>
          <w:bCs/>
          <w:b/>
        </w:rPr>
        <w:t xml:space="preserve">Business Consultant:</w:t>
      </w:r>
      <w:r>
        <w:t xml:space="preserve"> </w:t>
      </w:r>
      <w:r>
        <w:t xml:space="preserve">Dr. Sophie Marchand</w:t>
      </w:r>
    </w:p>
    <w:p>
      <w:pPr>
        <w:pStyle w:val="BodyText"/>
      </w:pPr>
      <w:r>
        <w:rPr>
          <w:bCs/>
          <w:b/>
        </w:rPr>
        <w:t xml:space="preserve">Specialization:</w:t>
      </w:r>
      <w:r>
        <w:t xml:space="preserve"> </w:t>
      </w:r>
      <w:r>
        <w:t xml:space="preserve">Operational Strategy &amp; Market Expansion</w:t>
      </w:r>
    </w:p>
    <w:p>
      <w:pPr>
        <w:pStyle w:val="BodyText"/>
      </w:pPr>
      <w:r>
        <w:rPr>
          <w:bCs/>
          <w:b/>
        </w:rPr>
        <w:t xml:space="preserve">Location:</w:t>
      </w:r>
      <w:r>
        <w:t xml:space="preserve"> </w:t>
      </w:r>
      <w:r>
        <w:t xml:space="preserve">Marseille, France</w:t>
      </w:r>
    </w:p>
    <w:p>
      <w:pPr>
        <w:pStyle w:val="BodyText"/>
      </w:pPr>
      <w:r>
        <w:rPr>
          <w:bCs/>
          <w:b/>
        </w:rPr>
        <w:t xml:space="preserve">Professional Registration:</w:t>
      </w:r>
      <w:r>
        <w:t xml:space="preserve"> </w:t>
      </w:r>
      <w:r>
        <w:t xml:space="preserve">RNCP Level 7</w:t>
      </w:r>
    </w:p>
    <w:bookmarkEnd w:id="23"/>
    <w:bookmarkStart w:id="24"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Provence Strategy Consulting SARL to Méditerranée Industries SA for the provision of professional</w:t>
      </w:r>
      <w:r>
        <w:t xml:space="preserve"> </w:t>
      </w:r>
      <w:r>
        <w:t xml:space="preserve">Business Consultant</w:t>
      </w:r>
      <w:r>
        <w:t xml:space="preserve"> </w:t>
      </w:r>
      <w:r>
        <w:t xml:space="preserve">services to be delivered in and around</w:t>
      </w:r>
      <w:r>
        <w:t xml:space="preserve"> </w:t>
      </w:r>
      <w:r>
        <w:t xml:space="preserve">France Marseille</w:t>
      </w:r>
      <w:r>
        <w:t xml:space="preserve">. This document outlines the scope of work, deliverables, fee structure, and applicable terms governing the engagement. The</w:t>
      </w:r>
      <w:r>
        <w:t xml:space="preserve"> </w:t>
      </w:r>
      <w:r>
        <w:t xml:space="preserve">Quotation Estimate</w:t>
      </w:r>
      <w:r>
        <w:t xml:space="preserve"> </w:t>
      </w:r>
      <w:r>
        <w:t xml:space="preserve">reflects our commitment to delivering high-calibre strategic advisory tailored to the unique economic landscape of the Marseille metropolitan area and the broader Provence-Alpes-Côte d'Azur region.</w:t>
      </w:r>
    </w:p>
    <w:bookmarkEnd w:id="24"/>
    <w:bookmarkStart w:id="25" w:name="scope-of-business-consultant-services"/>
    <w:p>
      <w:pPr>
        <w:pStyle w:val="Heading3"/>
      </w:pPr>
      <w:r>
        <w:t xml:space="preserve">2. Scope of Business Consultant Services</w:t>
      </w:r>
    </w:p>
    <w:p>
      <w:pPr>
        <w:pStyle w:val="FirstParagraph"/>
      </w:pPr>
      <w:r>
        <w:t xml:space="preserve">The</w:t>
      </w:r>
      <w:r>
        <w:t xml:space="preserve"> </w:t>
      </w:r>
      <w:r>
        <w:t xml:space="preserve">Business Consultant</w:t>
      </w:r>
      <w:r>
        <w:t xml:space="preserve"> </w:t>
      </w:r>
      <w:r>
        <w:t xml:space="preserve">engagement encompasses the following areas of expertise, all to be conducted with a primary operational base in</w:t>
      </w:r>
      <w:r>
        <w:t xml:space="preserve"> </w:t>
      </w:r>
      <w:r>
        <w:t xml:space="preserve">France Marseille</w:t>
      </w:r>
      <w:r>
        <w:t xml:space="preserve">:</w:t>
      </w:r>
    </w:p>
    <w:p>
      <w:pPr>
        <w:numPr>
          <w:ilvl w:val="0"/>
          <w:numId w:val="1001"/>
        </w:numPr>
        <w:pStyle w:val="Compact"/>
      </w:pPr>
      <w:r>
        <w:rPr>
          <w:bCs/>
          <w:b/>
        </w:rPr>
        <w:t xml:space="preserve">Strategic Business Planning:</w:t>
      </w:r>
      <w:r>
        <w:t xml:space="preserve"> </w:t>
      </w:r>
      <w:r>
        <w:t xml:space="preserve">Development of a five-year strategic roadmap aligned with the competitive dynamics of the Marseille port economy and Mediterranean trade corridors.</w:t>
      </w:r>
    </w:p>
    <w:p>
      <w:pPr>
        <w:numPr>
          <w:ilvl w:val="0"/>
          <w:numId w:val="1001"/>
        </w:numPr>
        <w:pStyle w:val="Compact"/>
      </w:pPr>
      <w:r>
        <w:rPr>
          <w:bCs/>
          <w:b/>
        </w:rPr>
        <w:t xml:space="preserve">Operational Efficiency Audit:</w:t>
      </w:r>
      <w:r>
        <w:t xml:space="preserve"> </w:t>
      </w:r>
      <w:r>
        <w:t xml:space="preserve">Comprehensive review of current business processes, supply chain logistics, and workforce allocation across all client facilities located in the Marseille industrial zone.</w:t>
      </w:r>
    </w:p>
    <w:p>
      <w:pPr>
        <w:numPr>
          <w:ilvl w:val="0"/>
          <w:numId w:val="1001"/>
        </w:numPr>
        <w:pStyle w:val="Compact"/>
      </w:pPr>
      <w:r>
        <w:rPr>
          <w:bCs/>
          <w:b/>
        </w:rPr>
        <w:t xml:space="preserve">Market Entry &amp; Expansion Advisory:</w:t>
      </w:r>
      <w:r>
        <w:t xml:space="preserve"> </w:t>
      </w:r>
      <w:r>
        <w:t xml:space="preserve">Analysis of growth opportunities within the France Marseille region, including partnerships with local chambers of commerce, regional development agencies, and the Port of Marseille-Fos authority.</w:t>
      </w:r>
    </w:p>
    <w:p>
      <w:pPr>
        <w:numPr>
          <w:ilvl w:val="0"/>
          <w:numId w:val="1001"/>
        </w:numPr>
        <w:pStyle w:val="Compact"/>
      </w:pPr>
      <w:r>
        <w:rPr>
          <w:bCs/>
          <w:b/>
        </w:rPr>
        <w:t xml:space="preserve">Financial Modelling &amp; Forecasting:</w:t>
      </w:r>
      <w:r>
        <w:t xml:space="preserve"> </w:t>
      </w:r>
      <w:r>
        <w:t xml:space="preserve">Construction of detailed financial projections incorporating regional tax incentives, EU funding programmes, and local labour market conditions specific to France Marseille.</w:t>
      </w:r>
    </w:p>
    <w:p>
      <w:pPr>
        <w:numPr>
          <w:ilvl w:val="0"/>
          <w:numId w:val="1001"/>
        </w:numPr>
        <w:pStyle w:val="Compact"/>
      </w:pPr>
      <w:r>
        <w:rPr>
          <w:bCs/>
          <w:b/>
        </w:rPr>
        <w:t xml:space="preserve">Change Management &amp; Implementation Support:</w:t>
      </w:r>
      <w:r>
        <w:t xml:space="preserve"> </w:t>
      </w:r>
      <w:r>
        <w:t xml:space="preserve">On-site guidance for leadership teams during the transition period, with a minimum of three dedicated weeks per month in Marseille.</w:t>
      </w:r>
    </w:p>
    <w:bookmarkEnd w:id="25"/>
    <w:bookmarkStart w:id="26" w:name="Xecf3771f97bee37e22c575b798b43bfdc6c1310"/>
    <w:p>
      <w:pPr>
        <w:pStyle w:val="Heading3"/>
      </w:pPr>
      <w:r>
        <w:t xml:space="preserve">3. Fee Schedule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Initial diagnostic assessment &amp; stakeholder interviews in France Marseille</w:t>
            </w:r>
          </w:p>
        </w:tc>
        <w:tc>
          <w:tcPr/>
          <w:p>
            <w:pPr>
              <w:pStyle w:val="Compact"/>
              <w:jc w:val="left"/>
            </w:pPr>
            <w:r>
              <w:t xml:space="preserve">2 weeks</w:t>
            </w:r>
          </w:p>
        </w:tc>
        <w:tc>
          <w:tcPr/>
          <w:p>
            <w:pPr>
              <w:pStyle w:val="Compact"/>
              <w:jc w:val="left"/>
            </w:pPr>
            <w:r>
              <w:t xml:space="preserve">4,500 / wk</w:t>
            </w:r>
          </w:p>
        </w:tc>
        <w:tc>
          <w:tcPr/>
          <w:p>
            <w:pPr>
              <w:pStyle w:val="Compact"/>
              <w:jc w:val="left"/>
            </w:pPr>
            <w:r>
              <w:t xml:space="preserve">9,000.00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Strategic business plan development &amp; board presentation</w:t>
            </w:r>
          </w:p>
        </w:tc>
        <w:tc>
          <w:tcPr/>
          <w:p>
            <w:pPr>
              <w:pStyle w:val="Compact"/>
              <w:jc w:val="left"/>
            </w:pPr>
            <w:r>
              <w:t xml:space="preserve">4 weeks</w:t>
            </w:r>
          </w:p>
        </w:tc>
        <w:tc>
          <w:tcPr/>
          <w:p>
            <w:pPr>
              <w:pStyle w:val="Compact"/>
              <w:jc w:val="left"/>
            </w:pPr>
            <w:r>
              <w:t xml:space="preserve">5,200 / wk</w:t>
            </w:r>
          </w:p>
        </w:tc>
        <w:tc>
          <w:tcPr/>
          <w:p>
            <w:pPr>
              <w:pStyle w:val="Compact"/>
              <w:jc w:val="left"/>
            </w:pPr>
            <w:r>
              <w:t xml:space="preserve">20,800.00</w:t>
            </w:r>
          </w:p>
        </w:tc>
        <w:tc>
          <w:tcPr/>
          <w:p>
            <w:pPr>
              <w:pStyle w:val="Compact"/>
              <w:jc w:val="left"/>
            </w:pPr>
            <w:r>
              <w:t xml:space="preserve">4,160.00</w:t>
            </w:r>
          </w:p>
        </w:tc>
      </w:tr>
      <w:tr>
        <w:tc>
          <w:tcPr/>
          <w:p>
            <w:pPr>
              <w:pStyle w:val="Compact"/>
              <w:jc w:val="left"/>
            </w:pPr>
            <w:r>
              <w:t xml:space="preserve">03</w:t>
            </w:r>
          </w:p>
        </w:tc>
        <w:tc>
          <w:tcPr/>
          <w:p>
            <w:pPr>
              <w:pStyle w:val="Compact"/>
              <w:jc w:val="left"/>
            </w:pPr>
            <w:r>
              <w:t xml:space="preserve">Operational efficiency audit (on-site, Marseille facilities)</w:t>
            </w:r>
          </w:p>
        </w:tc>
        <w:tc>
          <w:tcPr/>
          <w:p>
            <w:pPr>
              <w:pStyle w:val="Compact"/>
              <w:jc w:val="left"/>
            </w:pPr>
            <w:r>
              <w:t xml:space="preserve">3 weeks</w:t>
            </w:r>
          </w:p>
        </w:tc>
        <w:tc>
          <w:tcPr/>
          <w:p>
            <w:pPr>
              <w:pStyle w:val="Compact"/>
              <w:jc w:val="left"/>
            </w:pPr>
            <w:r>
              <w:t xml:space="preserve">4,800 / wk</w:t>
            </w:r>
          </w:p>
        </w:tc>
        <w:tc>
          <w:tcPr/>
          <w:p>
            <w:pPr>
              <w:pStyle w:val="Compact"/>
              <w:jc w:val="left"/>
            </w:pPr>
            <w:r>
              <w:t xml:space="preserve">14,400.00</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Market expansion analysis &amp; regional partnership mapping</w:t>
            </w:r>
          </w:p>
        </w:tc>
        <w:tc>
          <w:tcPr/>
          <w:p>
            <w:pPr>
              <w:pStyle w:val="Compact"/>
              <w:jc w:val="left"/>
            </w:pPr>
            <w:r>
              <w:t xml:space="preserve">3 weeks</w:t>
            </w:r>
          </w:p>
        </w:tc>
        <w:tc>
          <w:tcPr/>
          <w:p>
            <w:pPr>
              <w:pStyle w:val="Compact"/>
              <w:jc w:val="left"/>
            </w:pPr>
            <w:r>
              <w:t xml:space="preserve">5,000 / wk</w:t>
            </w:r>
          </w:p>
        </w:tc>
        <w:tc>
          <w:tcPr/>
          <w:p>
            <w:pPr>
              <w:pStyle w:val="Compact"/>
              <w:jc w:val="left"/>
            </w:pPr>
            <w:r>
              <w:t xml:space="preserve">15,000.00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Financial modelling, EU grant application support &amp; forecasting</w:t>
            </w:r>
          </w:p>
        </w:tc>
        <w:tc>
          <w:tcPr/>
          <w:p>
            <w:pPr>
              <w:pStyle w:val="Compact"/>
              <w:jc w:val="left"/>
            </w:pPr>
            <w:r>
              <w:t xml:space="preserve">2 weeks</w:t>
            </w:r>
          </w:p>
        </w:tc>
        <w:tc>
          <w:tcPr/>
          <w:p>
            <w:pPr>
              <w:pStyle w:val="Compact"/>
              <w:jc w:val="left"/>
            </w:pPr>
            <w:r>
              <w:t xml:space="preserve">5,500 / wk</w:t>
            </w:r>
          </w:p>
        </w:tc>
        <w:tc>
          <w:tcPr/>
          <w:p>
            <w:pPr>
              <w:pStyle w:val="Compact"/>
              <w:jc w:val="left"/>
            </w:pPr>
            <w:r>
              <w:t xml:space="preserve">11,000.00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Change management implementation &amp; leadership coaching (Marseille)</w:t>
            </w:r>
          </w:p>
        </w:tc>
        <w:tc>
          <w:tcPr/>
          <w:p>
            <w:pPr>
              <w:pStyle w:val="Compact"/>
              <w:jc w:val="left"/>
            </w:pPr>
            <w:r>
              <w:t xml:space="preserve">6 weeks</w:t>
            </w:r>
          </w:p>
        </w:tc>
        <w:tc>
          <w:tcPr/>
          <w:p>
            <w:pPr>
              <w:pStyle w:val="Compact"/>
              <w:jc w:val="left"/>
            </w:pPr>
            <w:r>
              <w:t xml:space="preserve">4,200 / wk</w:t>
            </w:r>
          </w:p>
        </w:tc>
        <w:tc>
          <w:tcPr/>
          <w:p>
            <w:pPr>
              <w:pStyle w:val="Compact"/>
              <w:jc w:val="left"/>
            </w:pPr>
            <w:r>
              <w:t xml:space="preserve">25,200.00</w:t>
            </w:r>
          </w:p>
        </w:tc>
        <w:tc>
          <w:tcPr/>
          <w:p>
            <w:pPr>
              <w:pStyle w:val="Compact"/>
              <w:jc w:val="left"/>
            </w:pPr>
            <w:r>
              <w:t xml:space="preserve">5,040.00</w:t>
            </w:r>
          </w:p>
        </w:tc>
      </w:tr>
      <w:tr>
        <w:tc>
          <w:tcPr/>
          <w:p>
            <w:pPr>
              <w:pStyle w:val="Compact"/>
              <w:jc w:val="left"/>
            </w:pPr>
            <w:r>
              <w:t xml:space="preserve">07</w:t>
            </w:r>
          </w:p>
        </w:tc>
        <w:tc>
          <w:tcPr/>
          <w:p>
            <w:pPr>
              <w:pStyle w:val="Compact"/>
              <w:jc w:val="left"/>
            </w:pPr>
            <w:r>
              <w:t xml:space="preserve">Travel, accommodation &amp; local transport within France Marseille</w:t>
            </w:r>
          </w:p>
        </w:tc>
        <w:tc>
          <w:tcPr/>
          <w:p>
            <w:pPr>
              <w:pStyle w:val="Compact"/>
              <w:jc w:val="left"/>
            </w:pPr>
            <w:r>
              <w:t xml:space="preserve">20 weeks</w:t>
            </w:r>
          </w:p>
        </w:tc>
        <w:tc>
          <w:tcPr/>
          <w:p>
            <w:pPr>
              <w:pStyle w:val="Compact"/>
              <w:jc w:val="left"/>
            </w:pPr>
            <w:r>
              <w:t xml:space="preserve">350 / wk</w:t>
            </w:r>
          </w:p>
        </w:tc>
        <w:tc>
          <w:tcPr/>
          <w:p>
            <w:pPr>
              <w:pStyle w:val="Compact"/>
              <w:jc w:val="left"/>
            </w:pPr>
            <w:r>
              <w:t xml:space="preserve">7,000.00</w:t>
            </w:r>
          </w:p>
        </w:tc>
        <w:tc>
          <w:tcPr/>
          <w:p>
            <w:pPr>
              <w:pStyle w:val="Compact"/>
              <w:jc w:val="left"/>
            </w:pPr>
            <w:r>
              <w:t xml:space="preserve">1,400.00</w:t>
            </w:r>
          </w:p>
        </w:tc>
      </w:tr>
      <w:tr>
        <w:tc>
          <w:tcPr>
            <w:gridSpan w:val="4"/>
          </w:tcPr>
          <w:p>
            <w:pPr>
              <w:pStyle w:val="Compact"/>
              <w:jc w:val="left"/>
            </w:pPr>
            <w:r>
              <w:t xml:space="preserve">SUBTOTAL (excl. VAT)</w:t>
            </w:r>
          </w:p>
        </w:tc>
        <w:tc>
          <w:tcPr/>
          <w:p>
            <w:pPr>
              <w:pStyle w:val="Compact"/>
              <w:jc w:val="left"/>
            </w:pPr>
            <w:r>
              <w:t xml:space="preserve">102,400.00</w:t>
            </w:r>
          </w:p>
        </w:tc>
        <w:tc>
          <w:tcPr/>
          <w:p>
            <w:pPr>
              <w:pStyle w:val="Compact"/>
              <w:jc w:val="left"/>
            </w:pPr>
            <w:r>
              <w:t xml:space="preserve">20,480.00</w:t>
            </w:r>
          </w:p>
        </w:tc>
      </w:tr>
      <w:tr>
        <w:tc>
          <w:tcPr>
            <w:gridSpan w:val="4"/>
          </w:tcPr>
          <w:p>
            <w:pPr>
              <w:pStyle w:val="Compact"/>
              <w:jc w:val="left"/>
            </w:pPr>
            <w:r>
              <w:rPr>
                <w:bCs/>
                <w:b/>
              </w:rPr>
              <w:t xml:space="preserve">TOTAL (incl. VAT 20%)</w:t>
            </w:r>
          </w:p>
        </w:tc>
        <w:tc>
          <w:tcPr>
            <w:gridSpan w:val="2"/>
          </w:tcPr>
          <w:p>
            <w:pPr>
              <w:pStyle w:val="Compact"/>
              <w:jc w:val="left"/>
            </w:pPr>
            <w:r>
              <w:rPr>
                <w:bCs/>
                <w:b/>
              </w:rPr>
              <w:t xml:space="preserve">122,880.00 EUR</w:t>
            </w:r>
          </w:p>
        </w:tc>
      </w:tr>
    </w:tbl>
    <w:bookmarkEnd w:id="26"/>
    <w:bookmarkStart w:id="27" w:name="payment-terms"/>
    <w:p>
      <w:pPr>
        <w:pStyle w:val="Heading3"/>
      </w:pPr>
      <w:r>
        <w:t xml:space="preserve">4.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master service agreement.</w:t>
      </w:r>
    </w:p>
    <w:p>
      <w:pPr>
        <w:numPr>
          <w:ilvl w:val="0"/>
          <w:numId w:val="1002"/>
        </w:numPr>
        <w:pStyle w:val="Compact"/>
      </w:pPr>
      <w:r>
        <w:t xml:space="preserve">40% payable upon delivery of the strategic business plan and operational audit report.</w:t>
      </w:r>
    </w:p>
    <w:p>
      <w:pPr>
        <w:numPr>
          <w:ilvl w:val="0"/>
          <w:numId w:val="1002"/>
        </w:numPr>
        <w:pStyle w:val="Compact"/>
      </w:pPr>
      <w:r>
        <w:t xml:space="preserve">30% final payment upon completion of all</w:t>
      </w:r>
      <w:r>
        <w:t xml:space="preserve"> </w:t>
      </w:r>
      <w:r>
        <w:t xml:space="preserve">Business Consultant</w:t>
      </w:r>
      <w:r>
        <w:t xml:space="preserve"> </w:t>
      </w:r>
      <w:r>
        <w:t xml:space="preserve">deliverables and the final implementation review in</w:t>
      </w:r>
      <w:r>
        <w:t xml:space="preserve"> </w:t>
      </w:r>
      <w:r>
        <w:t xml:space="preserve">France Marseille</w:t>
      </w:r>
      <w:r>
        <w:t xml:space="preserve">.</w:t>
      </w:r>
    </w:p>
    <w:p>
      <w:pPr>
        <w:numPr>
          <w:ilvl w:val="0"/>
          <w:numId w:val="1002"/>
        </w:numPr>
        <w:pStyle w:val="Compact"/>
      </w:pPr>
      <w:r>
        <w:t xml:space="preserve">All payments to be made via bank transfer to the account of Provence Strategy Consulting SARL, BNP Paribas, Marseille. IBAN: FR76 3000 4000 0500 0000 0000 000.</w:t>
      </w:r>
    </w:p>
    <w:p>
      <w:pPr>
        <w:numPr>
          <w:ilvl w:val="0"/>
          <w:numId w:val="1002"/>
        </w:numPr>
        <w:pStyle w:val="Compact"/>
      </w:pPr>
      <w:r>
        <w:t xml:space="preserve">Invoices are payable within 30 days of issue. Late payments shall accrue interest at the rate prescribed by French commercial law (Code de commerce, Article L441-10).</w:t>
      </w:r>
    </w:p>
    <w:bookmarkEnd w:id="27"/>
    <w:bookmarkStart w:id="28" w:name="terms-conditions"/>
    <w:p>
      <w:pPr>
        <w:pStyle w:val="Heading3"/>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fees and availability of the</w:t>
      </w:r>
      <w:r>
        <w:t xml:space="preserve"> </w:t>
      </w:r>
      <w:r>
        <w:t xml:space="preserve">Business Consultant</w:t>
      </w:r>
      <w:r>
        <w:t xml:space="preserve"> </w:t>
      </w:r>
      <w:r>
        <w:t xml:space="preserve">are subject to re-evaluation.</w:t>
      </w:r>
    </w:p>
    <w:p>
      <w:pPr>
        <w:numPr>
          <w:ilvl w:val="0"/>
          <w:numId w:val="1003"/>
        </w:numPr>
        <w:pStyle w:val="Compact"/>
      </w:pPr>
      <w:r>
        <w:t xml:space="preserve">All work performed under this engagement shall be governed by French law, with jurisdiction vested in the Tribunal de Commerce de Marseille, France.</w:t>
      </w:r>
    </w:p>
    <w:p>
      <w:pPr>
        <w:numPr>
          <w:ilvl w:val="0"/>
          <w:numId w:val="1003"/>
        </w:numPr>
        <w:pStyle w:val="Compact"/>
      </w:pPr>
      <w:r>
        <w:t xml:space="preserve">The</w:t>
      </w:r>
      <w:r>
        <w:t xml:space="preserve"> </w:t>
      </w:r>
      <w:r>
        <w:t xml:space="preserve">Business Consultant</w:t>
      </w:r>
      <w:r>
        <w:t xml:space="preserve"> </w:t>
      </w:r>
      <w:r>
        <w:t xml:space="preserve">shall maintain full professional confidentiality in accordance with the French Data Protection Act (Loi Informatique et Libertés) and the EU General Data Protection Regulation (GDPR).</w:t>
      </w:r>
    </w:p>
    <w:p>
      <w:pPr>
        <w:numPr>
          <w:ilvl w:val="0"/>
          <w:numId w:val="1003"/>
        </w:numPr>
        <w:pStyle w:val="Compact"/>
      </w:pPr>
      <w:r>
        <w:t xml:space="preserve">Intellectual property generated specifically for the client during the engagement shall transfer to the client upon full payment. Pre-existing methodologies, templates, and frameworks of the</w:t>
      </w:r>
      <w:r>
        <w:t xml:space="preserve"> </w:t>
      </w:r>
      <w:r>
        <w:t xml:space="preserve">Business Consultant</w:t>
      </w:r>
      <w:r>
        <w:t xml:space="preserve"> </w:t>
      </w:r>
      <w:r>
        <w:t xml:space="preserve">remain the property of Provence Strategy Consulting SARL.</w:t>
      </w:r>
    </w:p>
    <w:p>
      <w:pPr>
        <w:numPr>
          <w:ilvl w:val="0"/>
          <w:numId w:val="1003"/>
        </w:numPr>
        <w:pStyle w:val="Compact"/>
      </w:pPr>
      <w:r>
        <w:t xml:space="preserve">Force majeure events, including but not limited to natural disasters affecting the</w:t>
      </w:r>
      <w:r>
        <w:t xml:space="preserve"> </w:t>
      </w:r>
      <w:r>
        <w:t xml:space="preserve">France Marseille</w:t>
      </w:r>
      <w:r>
        <w:t xml:space="preserve"> </w:t>
      </w:r>
      <w:r>
        <w:t xml:space="preserve">region, shall suspend obligations without penalty for a period not exceeding sixty (60) days.</w:t>
      </w:r>
    </w:p>
    <w:p>
      <w:pPr>
        <w:numPr>
          <w:ilvl w:val="0"/>
          <w:numId w:val="1003"/>
        </w:numPr>
        <w:pStyle w:val="Compact"/>
      </w:pPr>
      <w:r>
        <w:t xml:space="preserve">Any disputes arising from this</w:t>
      </w:r>
      <w:r>
        <w:t xml:space="preserve"> </w:t>
      </w:r>
      <w:r>
        <w:t xml:space="preserve">Quotation Estimate</w:t>
      </w:r>
      <w:r>
        <w:t xml:space="preserve"> </w:t>
      </w:r>
      <w:r>
        <w:t xml:space="preserve">or the subsequent service agreement shall first be subject to good-faith mediation in Marseille before escalation to the competent commercial court.</w:t>
      </w:r>
    </w:p>
    <w:bookmarkEnd w:id="28"/>
    <w:bookmarkStart w:id="31" w:name="acceptance-signatures"/>
    <w:p>
      <w:pPr>
        <w:pStyle w:val="Heading3"/>
      </w:pPr>
      <w:r>
        <w:t xml:space="preserve">6. Acceptance &amp; Signatures</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to be rendered in</w:t>
      </w:r>
      <w:r>
        <w:t xml:space="preserve"> </w:t>
      </w:r>
      <w:r>
        <w:t xml:space="preserve">France Marseille</w:t>
      </w:r>
      <w:r>
        <w:t xml:space="preserve">. This document constitutes a binding commercial proposal upon countersignature.</w:t>
      </w:r>
    </w:p>
    <w:bookmarkStart w:id="29" w:name="X5cb0aae41b9ce2ddbf294024bb82f29107c3be0"/>
    <w:p>
      <w:pPr>
        <w:pStyle w:val="Heading4"/>
      </w:pPr>
      <w:r>
        <w:t xml:space="preserve">For Provence Strategy Consulting SARL (Business Consultant)</w:t>
      </w:r>
    </w:p>
    <w:p>
      <w:pPr>
        <w:pStyle w:val="FirstParagraph"/>
      </w:pPr>
      <w:r>
        <w:t xml:space="preserve">Dr. Sophie Marchand – Managing Director</w:t>
      </w:r>
    </w:p>
    <w:p>
      <w:pPr>
        <w:pStyle w:val="BodyText"/>
      </w:pPr>
      <w:r>
        <w:t xml:space="preserve">Date: ____________________</w:t>
      </w:r>
    </w:p>
    <w:bookmarkEnd w:id="29"/>
    <w:bookmarkStart w:id="30" w:name="for-méditerranée-industries-sa-client"/>
    <w:p>
      <w:pPr>
        <w:pStyle w:val="Heading4"/>
      </w:pPr>
      <w:r>
        <w:t xml:space="preserve">For Méditerranée Industries SA (Client)</w:t>
      </w:r>
    </w:p>
    <w:p>
      <w:pPr>
        <w:pStyle w:val="FirstParagraph"/>
      </w:pPr>
      <w:r>
        <w:t xml:space="preserve">Mr. Laurent Dubois – Chief Executive Officer</w:t>
      </w:r>
    </w:p>
    <w:p>
      <w:pPr>
        <w:pStyle w:val="BodyText"/>
      </w:pPr>
      <w:r>
        <w:t xml:space="preserve">Date: ____________________</w:t>
      </w:r>
    </w:p>
    <w:bookmarkEnd w:id="30"/>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QTE-2025-0417-MRS) is a non-binding proposal until formally accepted in writing by both parties. All rates are quoted in Euros (EUR) and include applicable French VAT at the standard rate of 20%. The</w:t>
      </w:r>
      <w:r>
        <w:t xml:space="preserve"> </w:t>
      </w:r>
      <w:r>
        <w:t xml:space="preserve">Business Consultant</w:t>
      </w:r>
      <w:r>
        <w:t xml:space="preserve"> </w:t>
      </w:r>
      <w:r>
        <w:t xml:space="preserve">services described herein are specifically scoped for delivery within the</w:t>
      </w:r>
      <w:r>
        <w:t xml:space="preserve"> </w:t>
      </w:r>
      <w:r>
        <w:t xml:space="preserve">France Marseille</w:t>
      </w:r>
      <w:r>
        <w:t xml:space="preserve"> </w:t>
      </w:r>
      <w:r>
        <w:t xml:space="preserve">metropolitan area. For any amendments or clarifications, please contact Provence Strategy Consulting SARL at the address stated above. This document is printed on recycled paper in compliance with French environmental regulations.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France Marseille</dc:title>
  <dc:creator/>
  <dc:language>en</dc:language>
  <cp:keywords/>
  <dcterms:created xsi:type="dcterms:W3CDTF">2026-10-10T01:23:57Z</dcterms:created>
  <dcterms:modified xsi:type="dcterms:W3CDTF">2026-10-10T01:23:57Z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