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strategic-advisory-partners-gmbh"/>
    <w:p>
      <w:pPr>
        <w:pStyle w:val="Heading1"/>
      </w:pPr>
      <w:r>
        <w:t xml:space="preserve">Strategic Advisory Partners GmbH</w:t>
      </w:r>
    </w:p>
    <w:p>
      <w:pPr>
        <w:pStyle w:val="FirstParagraph"/>
      </w:pPr>
      <w:r>
        <w:t xml:space="preserve">Mainzer Landstraße 145, 60329 Frankfurt am Main, Germany</w:t>
      </w:r>
    </w:p>
    <w:p>
      <w:pPr>
        <w:pStyle w:val="BodyText"/>
      </w:pPr>
      <w:r>
        <w:t xml:space="preserve">Phone: +49 69 4455 8800 | Email: info@strategicadvisory-partners.de</w:t>
      </w:r>
    </w:p>
    <w:p>
      <w:pPr>
        <w:pStyle w:val="BodyText"/>
      </w:pPr>
      <w:r>
        <w:t xml:space="preserve">USt-IdNr.: DE 312 456 789</w:t>
      </w:r>
    </w:p>
    <w:bookmarkEnd w:id="20"/>
    <w:bookmarkStart w:id="21" w:name="quotation-estimate"/>
    <w:p>
      <w:pPr>
        <w:pStyle w:val="Heading2"/>
      </w:pPr>
      <w:r>
        <w:t xml:space="preserve">Quotation Estimate</w:t>
      </w:r>
    </w:p>
    <w:p>
      <w:pPr>
        <w:pStyle w:val="FirstParagraph"/>
      </w:pPr>
      <w:r>
        <w:rPr>
          <w:bCs/>
          <w:b/>
        </w:rPr>
        <w:t xml:space="preserve">Reference No.:</w:t>
      </w:r>
      <w:r>
        <w:t xml:space="preserve"> </w:t>
      </w:r>
      <w:r>
        <w:t xml:space="preserve">QTE-2025-FRA-0047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For:</w:t>
      </w:r>
      <w:r>
        <w:t xml:space="preserve"> </w:t>
      </w:r>
      <w:r>
        <w:t xml:space="preserve">Germany Frankfurt Region</w:t>
      </w:r>
    </w:p>
    <w:bookmarkEnd w:id="21"/>
    <w:bookmarkStart w:id="22"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Strategic Advisory Partners GmbH to provide a comprehensive and transparent cost overview for the engagement of a senior</w:t>
      </w:r>
      <w:r>
        <w:t xml:space="preserve"> </w:t>
      </w:r>
      <w:r>
        <w:t xml:space="preserve">Business Consultant</w:t>
      </w:r>
      <w:r>
        <w:t xml:space="preserve"> </w:t>
      </w:r>
      <w:r>
        <w:t xml:space="preserve">to deliver strategic advisory services within the</w:t>
      </w:r>
      <w:r>
        <w:t xml:space="preserve"> </w:t>
      </w:r>
      <w:r>
        <w:t xml:space="preserve">Germany Frankfurt</w:t>
      </w:r>
      <w:r>
        <w:t xml:space="preserve"> </w:t>
      </w:r>
      <w:r>
        <w:t xml:space="preserve">metropolitan area. This document outlines the scope of work, deliverables, fee structure, and applicable terms governing the proposed consultancy engagement. All pricing presented in this Quotation Estimate reflects current market rates for Business Consultant services in Germany Frankfurt and is subject to the validity period stated above.</w:t>
      </w:r>
    </w:p>
    <w:bookmarkEnd w:id="22"/>
    <w:bookmarkStart w:id="23" w:name="client-information"/>
    <w:p>
      <w:pPr>
        <w:pStyle w:val="Heading3"/>
      </w:pPr>
      <w:r>
        <w:t xml:space="preserve">2. Client Information</w:t>
      </w:r>
    </w:p>
    <w:p>
      <w:pPr>
        <w:pStyle w:val="FirstParagraph"/>
      </w:pPr>
      <w:r>
        <w:rPr>
          <w:bCs/>
          <w:b/>
        </w:rPr>
        <w:t xml:space="preserve">Client Name:</w:t>
      </w:r>
      <w:r>
        <w:t xml:space="preserve"> </w:t>
      </w:r>
      <w:r>
        <w:t xml:space="preserve">[Client Company Name] GmbH</w:t>
      </w:r>
    </w:p>
    <w:p>
      <w:pPr>
        <w:pStyle w:val="BodyText"/>
      </w:pPr>
      <w:r>
        <w:rPr>
          <w:bCs/>
          <w:b/>
        </w:rPr>
        <w:t xml:space="preserve">Address:</w:t>
      </w:r>
      <w:r>
        <w:t xml:space="preserve"> </w:t>
      </w:r>
      <w:r>
        <w:t xml:space="preserve">[Street Address], [Postal Code] Frankfurt am Main, Germany</w:t>
      </w:r>
    </w:p>
    <w:p>
      <w:pPr>
        <w:pStyle w:val="BodyText"/>
      </w:pPr>
      <w:r>
        <w:rPr>
          <w:bCs/>
          <w:b/>
        </w:rPr>
        <w:t xml:space="preserve">Contact Person:</w:t>
      </w:r>
      <w:r>
        <w:t xml:space="preserve"> </w:t>
      </w:r>
      <w:r>
        <w:t xml:space="preserve">[Name], [Title]</w:t>
      </w:r>
    </w:p>
    <w:p>
      <w:pPr>
        <w:pStyle w:val="BodyText"/>
      </w:pPr>
      <w:r>
        <w:rPr>
          <w:bCs/>
          <w:b/>
        </w:rPr>
        <w:t xml:space="preserve">Email:</w:t>
      </w:r>
      <w:r>
        <w:t xml:space="preserve"> </w:t>
      </w:r>
      <w:r>
        <w:t xml:space="preserve">[contact email]</w:t>
      </w:r>
    </w:p>
    <w:p>
      <w:pPr>
        <w:pStyle w:val="BodyText"/>
      </w:pPr>
      <w:r>
        <w:rPr>
          <w:bCs/>
          <w:b/>
        </w:rPr>
        <w:t xml:space="preserve">Project Reference:</w:t>
      </w:r>
      <w:r>
        <w:t xml:space="preserve"> </w:t>
      </w:r>
      <w:r>
        <w:t xml:space="preserve">Strategic Transformation Initiative – Q3 2025</w:t>
      </w:r>
    </w:p>
    <w:bookmarkEnd w:id="23"/>
    <w:bookmarkStart w:id="24" w:name="X38c04614c6852dc42671939c78d168ce144be86"/>
    <w:p>
      <w:pPr>
        <w:pStyle w:val="Heading3"/>
      </w:pPr>
      <w:r>
        <w:t xml:space="preserve">3. Scope of Services – Business Consultant Engagement</w:t>
      </w:r>
    </w:p>
    <w:p>
      <w:pPr>
        <w:pStyle w:val="FirstParagraph"/>
      </w:pPr>
      <w:r>
        <w:t xml:space="preserve">The proposed engagement involves the deployment of a qualified Business Consultant with a minimum of fifteen (15) years of experience in corporate strategy, operational excellence, and organisational transformation. The Business Consultant will be based in Germany Frankfurt and will provide on-site and remote advisory support to the client's leadership team. The scope encompasses the following key workstreams:</w:t>
      </w:r>
    </w:p>
    <w:p>
      <w:pPr>
        <w:numPr>
          <w:ilvl w:val="0"/>
          <w:numId w:val="1001"/>
        </w:numPr>
        <w:pStyle w:val="Compact"/>
      </w:pPr>
      <w:r>
        <w:rPr>
          <w:bCs/>
          <w:b/>
        </w:rPr>
        <w:t xml:space="preserve">Strategic Planning &amp; Market Analysis:</w:t>
      </w:r>
      <w:r>
        <w:t xml:space="preserve"> </w:t>
      </w:r>
      <w:r>
        <w:t xml:space="preserve">Conducting a thorough assessment of the client's current market position, competitive landscape, and growth opportunities within the Germany Frankfurt business ecosystem, including the financial services, logistics, and technology sectors prevalent in the region.</w:t>
      </w:r>
    </w:p>
    <w:p>
      <w:pPr>
        <w:numPr>
          <w:ilvl w:val="0"/>
          <w:numId w:val="1001"/>
        </w:numPr>
        <w:pStyle w:val="Compact"/>
      </w:pPr>
      <w:r>
        <w:rPr>
          <w:bCs/>
          <w:b/>
        </w:rPr>
        <w:t xml:space="preserve">Operational Process Optimisation:</w:t>
      </w:r>
      <w:r>
        <w:t xml:space="preserve"> </w:t>
      </w:r>
      <w:r>
        <w:t xml:space="preserve">Reviewing and redesigning core business processes to enhance efficiency, reduce operational costs, and improve service delivery timelines across all departments.</w:t>
      </w:r>
    </w:p>
    <w:p>
      <w:pPr>
        <w:numPr>
          <w:ilvl w:val="0"/>
          <w:numId w:val="1001"/>
        </w:numPr>
        <w:pStyle w:val="Compact"/>
      </w:pPr>
      <w:r>
        <w:rPr>
          <w:bCs/>
          <w:b/>
        </w:rPr>
        <w:t xml:space="preserve">Organisational Restructuring Advisory:</w:t>
      </w:r>
      <w:r>
        <w:t xml:space="preserve"> </w:t>
      </w:r>
      <w:r>
        <w:t xml:space="preserve">Providing expert guidance on organisational design, leadership alignment, and change management strategies to support the client's long-term growth objectives.</w:t>
      </w:r>
    </w:p>
    <w:p>
      <w:pPr>
        <w:numPr>
          <w:ilvl w:val="0"/>
          <w:numId w:val="1001"/>
        </w:numPr>
        <w:pStyle w:val="Compact"/>
      </w:pPr>
      <w:r>
        <w:rPr>
          <w:bCs/>
          <w:b/>
        </w:rPr>
        <w:t xml:space="preserve">Financial Modelling &amp; Forecasting:</w:t>
      </w:r>
      <w:r>
        <w:t xml:space="preserve"> </w:t>
      </w:r>
      <w:r>
        <w:t xml:space="preserve">Developing detailed financial models, scenario analyses, and revenue projections to inform board-level decision-making and investor communications.</w:t>
      </w:r>
    </w:p>
    <w:p>
      <w:pPr>
        <w:numPr>
          <w:ilvl w:val="0"/>
          <w:numId w:val="1001"/>
        </w:numPr>
        <w:pStyle w:val="Compact"/>
      </w:pPr>
      <w:r>
        <w:rPr>
          <w:bCs/>
          <w:b/>
        </w:rPr>
        <w:t xml:space="preserve">Regulatory &amp; Compliance Review:</w:t>
      </w:r>
      <w:r>
        <w:t xml:space="preserve"> </w:t>
      </w:r>
      <w:r>
        <w:t xml:space="preserve">Ensuring all proposed strategic initiatives comply with applicable German commercial law, EU regulations, and industry-specific compliance frameworks relevant to operations in Germany Frankfurt.</w:t>
      </w:r>
    </w:p>
    <w:bookmarkEnd w:id="24"/>
    <w:bookmarkStart w:id="25" w:name="fee-structure-and-pricing"/>
    <w:p>
      <w:pPr>
        <w:pStyle w:val="Heading3"/>
      </w:pPr>
      <w:r>
        <w:t xml:space="preserve">4. Fee Structure and Pricing</w:t>
      </w:r>
    </w:p>
    <w:p>
      <w:pPr>
        <w:pStyle w:val="FirstParagraph"/>
      </w:pPr>
      <w:r>
        <w:t xml:space="preserve">The following Quotation Estimate details the professional fees for the Business Consultant engagement. All amounts are stated in Euro (EUR) and are exclusive of applicable German Value Added Tax (VAT / Umsatzsteuer) at the standard rate of 19%, unless otherwise noted.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Initial Diagnostic Assessment &amp; Kick-off Workshop (on-site, Germany Frankfurt)</w:t>
            </w:r>
          </w:p>
        </w:tc>
        <w:tc>
          <w:tcPr/>
          <w:p>
            <w:pPr>
              <w:pStyle w:val="Compact"/>
              <w:jc w:val="left"/>
            </w:pPr>
            <w:r>
              <w:t xml:space="preserve">5 days</w:t>
            </w:r>
          </w:p>
        </w:tc>
        <w:tc>
          <w:tcPr/>
          <w:p>
            <w:pPr>
              <w:pStyle w:val="Compact"/>
              <w:jc w:val="left"/>
            </w:pPr>
            <w:r>
              <w:t xml:space="preserve">€1,850 / day</w:t>
            </w:r>
          </w:p>
        </w:tc>
        <w:tc>
          <w:tcPr/>
          <w:p>
            <w:pPr>
              <w:pStyle w:val="Compact"/>
              <w:jc w:val="left"/>
            </w:pPr>
            <w:r>
              <w:t xml:space="preserve">€9,250.00</w:t>
            </w:r>
          </w:p>
        </w:tc>
      </w:tr>
      <w:tr>
        <w:tc>
          <w:tcPr/>
          <w:p>
            <w:pPr>
              <w:pStyle w:val="Compact"/>
              <w:jc w:val="left"/>
            </w:pPr>
            <w:r>
              <w:t xml:space="preserve">2</w:t>
            </w:r>
          </w:p>
        </w:tc>
        <w:tc>
          <w:tcPr/>
          <w:p>
            <w:pPr>
              <w:pStyle w:val="Compact"/>
              <w:jc w:val="left"/>
            </w:pPr>
            <w:r>
              <w:t xml:space="preserve">Strategic Planning &amp; Market Analysis Phase</w:t>
            </w:r>
          </w:p>
        </w:tc>
        <w:tc>
          <w:tcPr/>
          <w:p>
            <w:pPr>
              <w:pStyle w:val="Compact"/>
              <w:jc w:val="left"/>
            </w:pPr>
            <w:r>
              <w:t xml:space="preserve">10 days</w:t>
            </w:r>
          </w:p>
        </w:tc>
        <w:tc>
          <w:tcPr/>
          <w:p>
            <w:pPr>
              <w:pStyle w:val="Compact"/>
              <w:jc w:val="left"/>
            </w:pPr>
            <w:r>
              <w:t xml:space="preserve">€1,850 / day</w:t>
            </w:r>
          </w:p>
        </w:tc>
        <w:tc>
          <w:tcPr/>
          <w:p>
            <w:pPr>
              <w:pStyle w:val="Compact"/>
              <w:jc w:val="left"/>
            </w:pPr>
            <w:r>
              <w:t xml:space="preserve">€18,500.00</w:t>
            </w:r>
          </w:p>
        </w:tc>
      </w:tr>
      <w:tr>
        <w:tc>
          <w:tcPr/>
          <w:p>
            <w:pPr>
              <w:pStyle w:val="Compact"/>
              <w:jc w:val="left"/>
            </w:pPr>
            <w:r>
              <w:t xml:space="preserve">3</w:t>
            </w:r>
          </w:p>
        </w:tc>
        <w:tc>
          <w:tcPr/>
          <w:p>
            <w:pPr>
              <w:pStyle w:val="Compact"/>
              <w:jc w:val="left"/>
            </w:pPr>
            <w:r>
              <w:t xml:space="preserve">Operational Process Optimisation &amp; Redesign</w:t>
            </w:r>
          </w:p>
        </w:tc>
        <w:tc>
          <w:tcPr/>
          <w:p>
            <w:pPr>
              <w:pStyle w:val="Compact"/>
              <w:jc w:val="left"/>
            </w:pPr>
            <w:r>
              <w:t xml:space="preserve">12 days</w:t>
            </w:r>
          </w:p>
        </w:tc>
        <w:tc>
          <w:tcPr/>
          <w:p>
            <w:pPr>
              <w:pStyle w:val="Compact"/>
              <w:jc w:val="left"/>
            </w:pPr>
            <w:r>
              <w:t xml:space="preserve">€1,850 / day</w:t>
            </w:r>
          </w:p>
        </w:tc>
        <w:tc>
          <w:tcPr/>
          <w:p>
            <w:pPr>
              <w:pStyle w:val="Compact"/>
              <w:jc w:val="left"/>
            </w:pPr>
            <w:r>
              <w:t xml:space="preserve">€22,200.00</w:t>
            </w:r>
          </w:p>
        </w:tc>
      </w:tr>
      <w:tr>
        <w:tc>
          <w:tcPr/>
          <w:p>
            <w:pPr>
              <w:pStyle w:val="Compact"/>
              <w:jc w:val="left"/>
            </w:pPr>
            <w:r>
              <w:t xml:space="preserve">4</w:t>
            </w:r>
          </w:p>
        </w:tc>
        <w:tc>
          <w:tcPr/>
          <w:p>
            <w:pPr>
              <w:pStyle w:val="Compact"/>
              <w:jc w:val="left"/>
            </w:pPr>
            <w:r>
              <w:t xml:space="preserve">Organisational Restructuring &amp; Change Management Advisory</w:t>
            </w:r>
          </w:p>
        </w:tc>
        <w:tc>
          <w:tcPr/>
          <w:p>
            <w:pPr>
              <w:pStyle w:val="Compact"/>
              <w:jc w:val="left"/>
            </w:pPr>
            <w:r>
              <w:t xml:space="preserve">8 days</w:t>
            </w:r>
          </w:p>
        </w:tc>
        <w:tc>
          <w:tcPr/>
          <w:p>
            <w:pPr>
              <w:pStyle w:val="Compact"/>
              <w:jc w:val="left"/>
            </w:pPr>
            <w:r>
              <w:t xml:space="preserve">€1,850 / day</w:t>
            </w:r>
          </w:p>
        </w:tc>
        <w:tc>
          <w:tcPr/>
          <w:p>
            <w:pPr>
              <w:pStyle w:val="Compact"/>
              <w:jc w:val="left"/>
            </w:pPr>
            <w:r>
              <w:t xml:space="preserve">€14,800.00</w:t>
            </w:r>
          </w:p>
        </w:tc>
      </w:tr>
      <w:tr>
        <w:tc>
          <w:tcPr/>
          <w:p>
            <w:pPr>
              <w:pStyle w:val="Compact"/>
              <w:jc w:val="left"/>
            </w:pPr>
            <w:r>
              <w:t xml:space="preserve">5</w:t>
            </w:r>
          </w:p>
        </w:tc>
        <w:tc>
          <w:tcPr/>
          <w:p>
            <w:pPr>
              <w:pStyle w:val="Compact"/>
              <w:jc w:val="left"/>
            </w:pPr>
            <w:r>
              <w:t xml:space="preserve">Financial Modelling, Forecasting &amp; Board Presentation</w:t>
            </w:r>
          </w:p>
        </w:tc>
        <w:tc>
          <w:tcPr/>
          <w:p>
            <w:pPr>
              <w:pStyle w:val="Compact"/>
              <w:jc w:val="left"/>
            </w:pPr>
            <w:r>
              <w:t xml:space="preserve">6 days</w:t>
            </w:r>
          </w:p>
        </w:tc>
        <w:tc>
          <w:tcPr/>
          <w:p>
            <w:pPr>
              <w:pStyle w:val="Compact"/>
              <w:jc w:val="left"/>
            </w:pPr>
            <w:r>
              <w:t xml:space="preserve">€1,850 / day</w:t>
            </w:r>
          </w:p>
        </w:tc>
        <w:tc>
          <w:tcPr/>
          <w:p>
            <w:pPr>
              <w:pStyle w:val="Compact"/>
              <w:jc w:val="left"/>
            </w:pPr>
            <w:r>
              <w:t xml:space="preserve">€11,100.00</w:t>
            </w:r>
          </w:p>
        </w:tc>
      </w:tr>
      <w:tr>
        <w:tc>
          <w:tcPr/>
          <w:p>
            <w:pPr>
              <w:pStyle w:val="Compact"/>
              <w:jc w:val="left"/>
            </w:pPr>
            <w:r>
              <w:t xml:space="preserve">6</w:t>
            </w:r>
          </w:p>
        </w:tc>
        <w:tc>
          <w:tcPr/>
          <w:p>
            <w:pPr>
              <w:pStyle w:val="Compact"/>
              <w:jc w:val="left"/>
            </w:pPr>
            <w:r>
              <w:t xml:space="preserve">Regulatory Compliance Review &amp; Final Reporting</w:t>
            </w:r>
          </w:p>
        </w:tc>
        <w:tc>
          <w:tcPr/>
          <w:p>
            <w:pPr>
              <w:pStyle w:val="Compact"/>
              <w:jc w:val="left"/>
            </w:pPr>
            <w:r>
              <w:t xml:space="preserve">4 days</w:t>
            </w:r>
          </w:p>
        </w:tc>
        <w:tc>
          <w:tcPr/>
          <w:p>
            <w:pPr>
              <w:pStyle w:val="Compact"/>
              <w:jc w:val="left"/>
            </w:pPr>
            <w:r>
              <w:t xml:space="preserve">€1,850 / day</w:t>
            </w:r>
          </w:p>
        </w:tc>
        <w:tc>
          <w:tcPr/>
          <w:p>
            <w:pPr>
              <w:pStyle w:val="Compact"/>
              <w:jc w:val="left"/>
            </w:pPr>
            <w:r>
              <w:t xml:space="preserve">€7,400.00</w:t>
            </w:r>
          </w:p>
        </w:tc>
      </w:tr>
      <w:tr>
        <w:tc>
          <w:tcPr/>
          <w:p>
            <w:pPr>
              <w:pStyle w:val="Compact"/>
              <w:jc w:val="left"/>
            </w:pPr>
            <w:r>
              <w:t xml:space="preserve">7</w:t>
            </w:r>
          </w:p>
        </w:tc>
        <w:tc>
          <w:tcPr/>
          <w:p>
            <w:pPr>
              <w:pStyle w:val="Compact"/>
              <w:jc w:val="left"/>
            </w:pPr>
            <w:r>
              <w:t xml:space="preserve">Travel &amp; Accommodation (Germany Frankfurt area, estimated)</w:t>
            </w:r>
          </w:p>
        </w:tc>
        <w:tc>
          <w:tcPr/>
          <w:p>
            <w:pPr>
              <w:pStyle w:val="Compact"/>
              <w:jc w:val="left"/>
            </w:pPr>
            <w:r>
              <w:t xml:space="preserve">45 days</w:t>
            </w:r>
          </w:p>
        </w:tc>
        <w:tc>
          <w:tcPr/>
          <w:p>
            <w:pPr>
              <w:pStyle w:val="Compact"/>
              <w:jc w:val="left"/>
            </w:pPr>
            <w:r>
              <w:t xml:space="preserve">€120 / day</w:t>
            </w:r>
          </w:p>
        </w:tc>
        <w:tc>
          <w:tcPr/>
          <w:p>
            <w:pPr>
              <w:pStyle w:val="Compact"/>
              <w:jc w:val="left"/>
            </w:pPr>
            <w:r>
              <w:t xml:space="preserve">€5,400.00</w:t>
            </w:r>
          </w:p>
        </w:tc>
      </w:tr>
      <w:tr>
        <w:tc>
          <w:tcPr>
            <w:gridSpan w:val="4"/>
          </w:tcPr>
          <w:p>
            <w:pPr>
              <w:pStyle w:val="Compact"/>
              <w:jc w:val="left"/>
            </w:pPr>
            <w:r>
              <w:t xml:space="preserve">Total Professional Fees (excl. 19% VAT)</w:t>
            </w:r>
          </w:p>
        </w:tc>
        <w:tc>
          <w:tcPr/>
          <w:p>
            <w:pPr>
              <w:pStyle w:val="Compact"/>
              <w:jc w:val="left"/>
            </w:pPr>
            <w:r>
              <w:t xml:space="preserve">€88,650.00</w:t>
            </w:r>
          </w:p>
        </w:tc>
      </w:tr>
      <w:tr>
        <w:tc>
          <w:tcPr>
            <w:gridSpan w:val="4"/>
          </w:tcPr>
          <w:p>
            <w:pPr>
              <w:pStyle w:val="Compact"/>
              <w:jc w:val="left"/>
            </w:pPr>
            <w:r>
              <w:t xml:space="preserve">VAT (19%)</w:t>
            </w:r>
          </w:p>
        </w:tc>
        <w:tc>
          <w:tcPr/>
          <w:p>
            <w:pPr>
              <w:pStyle w:val="Compact"/>
              <w:jc w:val="left"/>
            </w:pPr>
            <w:r>
              <w:t xml:space="preserve">€16,843.50</w:t>
            </w:r>
          </w:p>
        </w:tc>
      </w:tr>
      <w:tr>
        <w:tc>
          <w:tcPr>
            <w:gridSpan w:val="4"/>
          </w:tcPr>
          <w:p>
            <w:pPr>
              <w:pStyle w:val="Compact"/>
              <w:jc w:val="left"/>
            </w:pPr>
            <w:r>
              <w:rPr>
                <w:bCs/>
                <w:b/>
              </w:rPr>
              <w:t xml:space="preserve">Grand Total (incl. VAT)</w:t>
            </w:r>
          </w:p>
        </w:tc>
        <w:tc>
          <w:tcPr/>
          <w:p>
            <w:pPr>
              <w:pStyle w:val="Compact"/>
              <w:jc w:val="left"/>
            </w:pPr>
            <w:r>
              <w:rPr>
                <w:bCs/>
                <w:b/>
              </w:rPr>
              <w:t xml:space="preserve">€105,493.50</w:t>
            </w:r>
          </w:p>
        </w:tc>
      </w:tr>
    </w:tbl>
    <w:bookmarkEnd w:id="25"/>
    <w:bookmarkStart w:id="26" w:name="payment-terms"/>
    <w:p>
      <w:pPr>
        <w:pStyle w:val="Heading3"/>
      </w:pPr>
      <w:r>
        <w:t xml:space="preserve">5. Payment Terms</w:t>
      </w:r>
    </w:p>
    <w:p>
      <w:pPr>
        <w:pStyle w:val="FirstParagraph"/>
      </w:pPr>
      <w:r>
        <w:t xml:space="preserve">Payment for the services outlined in this Quotation Estimate shall be made in three (3) equal instalments: 30% upon contract execution, 40% upon completion of the Operational Process Optimisation phase, and 30% upon final delivery of all reports and the closing board presentation. Invoices shall be payable within thirty (30) calendar days of the invoice date via bank transfer to the account of Strategic Advisory Partners GmbH, Frankfurt am Main. Late payments shall incur interest at the statutory rate under Section 288 of the German Civil Code (BGB).</w:t>
      </w:r>
    </w:p>
    <w:bookmarkEnd w:id="26"/>
    <w:bookmarkStart w:id="27" w:name="terms-and-conditions"/>
    <w:p>
      <w:pPr>
        <w:pStyle w:val="Heading3"/>
      </w:pPr>
      <w:r>
        <w:t xml:space="preserve">6. Terms and Conditions</w:t>
      </w:r>
    </w:p>
    <w:p>
      <w:pPr>
        <w:numPr>
          <w:ilvl w:val="0"/>
          <w:numId w:val="1002"/>
        </w:numPr>
        <w:pStyle w:val="Compact"/>
      </w:pPr>
      <w:r>
        <w:t xml:space="preserve">This Quotation Estimate is valid for thirty (30) days from the date of issue. After the expiry date, fees and availability of the Business Consultant may be subject to revision.</w:t>
      </w:r>
    </w:p>
    <w:p>
      <w:pPr>
        <w:numPr>
          <w:ilvl w:val="0"/>
          <w:numId w:val="1002"/>
        </w:numPr>
        <w:pStyle w:val="Compact"/>
      </w:pPr>
      <w:r>
        <w:t xml:space="preserve">All work performed by the Business Consultant shall be conducted in accordance with the professional standards of the German Consulting Association and applicable data protection regulations (GDPR / DSGVO).</w:t>
      </w:r>
    </w:p>
    <w:p>
      <w:pPr>
        <w:numPr>
          <w:ilvl w:val="0"/>
          <w:numId w:val="1002"/>
        </w:numPr>
        <w:pStyle w:val="Compact"/>
      </w:pPr>
      <w:r>
        <w:t xml:space="preserve">The Business Consultant shall maintain strict confidentiality regarding all client information, trade secrets, and proprietary data encountered during the engagement in Germany Frankfurt. A separate Non-Disclosure Agreement (NDA) shall be executed prior to the commencement of work.</w:t>
      </w:r>
    </w:p>
    <w:p>
      <w:pPr>
        <w:numPr>
          <w:ilvl w:val="0"/>
          <w:numId w:val="1002"/>
        </w:numPr>
        <w:pStyle w:val="Compact"/>
      </w:pPr>
      <w:r>
        <w:t xml:space="preserve">Any changes to the scope of work beyond the parameters defined in this Quotation Estimate shall require a written change order signed by both parties. Additional fees for scope changes will be calculated at the same daily rate specified herein.</w:t>
      </w:r>
    </w:p>
    <w:p>
      <w:pPr>
        <w:numPr>
          <w:ilvl w:val="0"/>
          <w:numId w:val="1002"/>
        </w:numPr>
        <w:pStyle w:val="Compact"/>
      </w:pPr>
      <w:r>
        <w:t xml:space="preserve">The Business Consultant shall provide weekly progress reports and a comprehensive final report upon project completion. All deliverables shall be provided in both German and English to accommodate the client's international stakeholder base.</w:t>
      </w:r>
    </w:p>
    <w:p>
      <w:pPr>
        <w:numPr>
          <w:ilvl w:val="0"/>
          <w:numId w:val="1002"/>
        </w:numPr>
        <w:pStyle w:val="Compact"/>
      </w:pPr>
      <w:r>
        <w:t xml:space="preserve">This engagement is governed by the laws of the Federal Republic of Germany. Any disputes arising from this Quotation Estimate or the subsequent service agreement shall be subject to the exclusive jurisdiction of the competent courts in Frankfurt am Main, Germany.</w:t>
      </w:r>
    </w:p>
    <w:p>
      <w:pPr>
        <w:numPr>
          <w:ilvl w:val="0"/>
          <w:numId w:val="1002"/>
        </w:numPr>
        <w:pStyle w:val="Compact"/>
      </w:pPr>
      <w:r>
        <w:t xml:space="preserve">The Business Consultant shall carry professional indemnity insurance with a minimum coverage of €5,000,000 for the duration of the engagement.</w:t>
      </w:r>
    </w:p>
    <w:bookmarkEnd w:id="27"/>
    <w:bookmarkStart w:id="28" w:name="acceptance-and-authorisation"/>
    <w:p>
      <w:pPr>
        <w:pStyle w:val="Heading3"/>
      </w:pPr>
      <w:r>
        <w:t xml:space="preserve">7. Acceptance and Authorisation</w:t>
      </w:r>
    </w:p>
    <w:p>
      <w:pPr>
        <w:pStyle w:val="FirstParagraph"/>
      </w:pPr>
      <w:r>
        <w:t xml:space="preserve">By signing below, the client acknowledges receipt of this Quotation Estimate and agrees to the terms, conditions, and fee structure outlined herein for the Business Consultant services to be delivered in Germany Frankfurt. This signature constitutes a binding acceptance of the Quotation Estimate and authorises Strategic Advisory Partners GmbH to commence the engagement as described.</w:t>
      </w:r>
    </w:p>
    <w:p>
      <w:pPr>
        <w:pStyle w:val="BodyText"/>
      </w:pPr>
      <w:r>
        <w:rPr>
          <w:bCs/>
          <w:b/>
        </w:rPr>
        <w:t xml:space="preserve">For Strategic Advisory Partners GmbH</w:t>
      </w:r>
      <w:r>
        <w:br/>
      </w:r>
      <w:r>
        <w:t xml:space="preserve">Name: Dr. Markus Weber</w:t>
      </w:r>
      <w:r>
        <w:br/>
      </w:r>
      <w:r>
        <w:t xml:space="preserve">Title: Managing Partner</w:t>
      </w:r>
      <w:r>
        <w:br/>
      </w:r>
      <w:r>
        <w:t xml:space="preserve">Date: _______________</w:t>
      </w:r>
    </w:p>
    <w:p>
      <w:pPr>
        <w:pStyle w:val="BodyText"/>
      </w:pPr>
      <w:r>
        <w:rPr>
          <w:bCs/>
          <w:b/>
        </w:rPr>
        <w:t xml:space="preserve">For [Client Company Name] GmbH</w:t>
      </w:r>
      <w:r>
        <w:br/>
      </w:r>
      <w:r>
        <w:t xml:space="preserve">Name: _______________________</w:t>
      </w:r>
      <w:r>
        <w:br/>
      </w:r>
      <w:r>
        <w:t xml:space="preserve">Title: _______________________</w:t>
      </w:r>
      <w:r>
        <w:br/>
      </w:r>
      <w:r>
        <w:t xml:space="preserve">Date: _______________</w:t>
      </w:r>
    </w:p>
    <w:p>
      <w:pPr>
        <w:pStyle w:val="BodyText"/>
      </w:pPr>
      <w:r>
        <w:t xml:space="preserve">This Quotation Estimate (Ref. QTE-2025-FRA-0047) was prepared by Strategic Advisory Partners GmbH, Frankfurt am Main, Germany. This document is confidential and intended solely for the named recipient. Unauthorised reproduction or distribution is prohibited. For inquiries regarding this Quotation Estimate or to discuss the proposed Business Consultant engagement in Germany Frankfurt, please contact our client relations team at +49 69 4455 8800.</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Services - Germany Frankfurt</dc:title>
  <dc:creator/>
  <dc:language>en</dc:language>
  <cp:keywords/>
  <dcterms:created xsi:type="dcterms:W3CDTF">2026-10-10T09:04:18Z</dcterms:created>
  <dcterms:modified xsi:type="dcterms:W3CDTF">2026-10-10T09:04:18Z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