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Business Consultant Services — Germany Munich</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QTE-MUC-2025-0472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calendar days)</w:t>
      </w:r>
    </w:p>
    <w:p>
      <w:pPr>
        <w:pStyle w:val="BodyText"/>
      </w:pPr>
      <w:r>
        <w:rPr>
          <w:bCs/>
          <w:b/>
        </w:rPr>
        <w:t xml:space="preserve">Currency:</w:t>
      </w:r>
      <w:r>
        <w:t xml:space="preserve"> </w:t>
      </w:r>
      <w:r>
        <w:t xml:space="preserve">EUR (€)</w:t>
      </w:r>
    </w:p>
    <w:p>
      <w:pPr>
        <w:pStyle w:val="BodyText"/>
      </w:pPr>
      <w:r>
        <w:rPr>
          <w:bCs/>
          <w:b/>
        </w:rPr>
        <w:t xml:space="preserve">Location of Services:</w:t>
      </w:r>
      <w:r>
        <w:t xml:space="preserve"> </w:t>
      </w:r>
      <w:r>
        <w:t xml:space="preserve">Germany Munich, Bavaria</w:t>
      </w:r>
    </w:p>
    <w:bookmarkEnd w:id="21"/>
    <w:bookmarkStart w:id="22" w:name="provided-by-business-consultant"/>
    <w:p>
      <w:pPr>
        <w:pStyle w:val="Heading3"/>
      </w:pPr>
      <w:r>
        <w:t xml:space="preserve">Provided By (Business Consultant)</w:t>
      </w:r>
    </w:p>
    <w:p>
      <w:pPr>
        <w:pStyle w:val="FirstParagraph"/>
      </w:pPr>
      <w:r>
        <w:rPr>
          <w:bCs/>
          <w:b/>
        </w:rPr>
        <w:t xml:space="preserve">Consultant Name:</w:t>
      </w:r>
      <w:r>
        <w:t xml:space="preserve"> </w:t>
      </w:r>
      <w:r>
        <w:t xml:space="preserve">Dr. Markus Steinberger</w:t>
      </w:r>
    </w:p>
    <w:p>
      <w:pPr>
        <w:pStyle w:val="BodyText"/>
      </w:pPr>
      <w:r>
        <w:rPr>
          <w:bCs/>
          <w:b/>
        </w:rPr>
        <w:t xml:space="preserve">Firm:</w:t>
      </w:r>
      <w:r>
        <w:t xml:space="preserve"> </w:t>
      </w:r>
      <w:r>
        <w:t xml:space="preserve">Steinberger Strategy &amp; Advisory GmbH</w:t>
      </w:r>
    </w:p>
    <w:p>
      <w:pPr>
        <w:pStyle w:val="BodyText"/>
      </w:pPr>
      <w:r>
        <w:rPr>
          <w:bCs/>
          <w:b/>
        </w:rPr>
        <w:t xml:space="preserve">Address:</w:t>
      </w:r>
      <w:r>
        <w:t xml:space="preserve"> </w:t>
      </w:r>
      <w:r>
        <w:t xml:space="preserve">Leopoldstraße 245, 80807 Munich, Germany</w:t>
      </w:r>
    </w:p>
    <w:p>
      <w:pPr>
        <w:pStyle w:val="BodyText"/>
      </w:pPr>
      <w:r>
        <w:rPr>
          <w:bCs/>
          <w:b/>
        </w:rPr>
        <w:t xml:space="preserve">VAT ID (USt-IdNr.):</w:t>
      </w:r>
      <w:r>
        <w:t xml:space="preserve"> </w:t>
      </w:r>
      <w:r>
        <w:t xml:space="preserve">DE 318 456 721</w:t>
      </w:r>
    </w:p>
    <w:p>
      <w:pPr>
        <w:pStyle w:val="BodyText"/>
      </w:pPr>
      <w:r>
        <w:rPr>
          <w:bCs/>
          <w:b/>
        </w:rPr>
        <w:t xml:space="preserve">Contact:</w:t>
      </w:r>
      <w:r>
        <w:t xml:space="preserve"> </w:t>
      </w:r>
      <w:r>
        <w:t xml:space="preserve">m.steinberger@steinberger-advisory.de | +49 89 5550 1234</w:t>
      </w:r>
    </w:p>
    <w:bookmarkEnd w:id="22"/>
    <w:bookmarkStart w:id="23" w:name="prepared-for-client"/>
    <w:p>
      <w:pPr>
        <w:pStyle w:val="Heading3"/>
      </w:pPr>
      <w:r>
        <w:t xml:space="preserve">Prepared For (Client)</w:t>
      </w:r>
    </w:p>
    <w:p>
      <w:pPr>
        <w:pStyle w:val="FirstParagraph"/>
      </w:pPr>
      <w:r>
        <w:rPr>
          <w:bCs/>
          <w:b/>
        </w:rPr>
        <w:t xml:space="preserve">Company:</w:t>
      </w:r>
      <w:r>
        <w:t xml:space="preserve"> </w:t>
      </w:r>
      <w:r>
        <w:t xml:space="preserve">[Client Company Name] GmbH</w:t>
      </w:r>
    </w:p>
    <w:p>
      <w:pPr>
        <w:pStyle w:val="BodyText"/>
      </w:pPr>
      <w:r>
        <w:rPr>
          <w:bCs/>
          <w:b/>
        </w:rPr>
        <w:t xml:space="preserve">Address:</w:t>
      </w:r>
      <w:r>
        <w:t xml:space="preserve"> </w:t>
      </w:r>
      <w:r>
        <w:t xml:space="preserve">[Street and Number], [Postal Code] Munich, Germany</w:t>
      </w:r>
    </w:p>
    <w:p>
      <w:pPr>
        <w:pStyle w:val="BodyText"/>
      </w:pPr>
      <w:r>
        <w:rPr>
          <w:bCs/>
          <w:b/>
        </w:rPr>
        <w:t xml:space="preserve">Contact Person:</w:t>
      </w:r>
      <w:r>
        <w:t xml:space="preserve"> </w:t>
      </w:r>
      <w:r>
        <w:t xml:space="preserve">[Name, Title]</w:t>
      </w:r>
    </w:p>
    <w:p>
      <w:pPr>
        <w:pStyle w:val="BodyText"/>
      </w:pPr>
      <w:r>
        <w:rPr>
          <w:bCs/>
          <w:b/>
        </w:rPr>
        <w:t xml:space="preserve">Email:</w:t>
      </w:r>
      <w:r>
        <w:t xml:space="preserve"> </w:t>
      </w:r>
      <w:r>
        <w:t xml:space="preserve">[client@email.de]</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Strategic Business Transformation &amp; Operational Excellence</w:t>
      </w:r>
    </w:p>
    <w:p>
      <w:pPr>
        <w:pStyle w:val="BodyText"/>
      </w:pPr>
      <w:r>
        <w:rPr>
          <w:bCs/>
          <w:b/>
        </w:rPr>
        <w:t xml:space="preserve">Engagement Period:</w:t>
      </w:r>
      <w:r>
        <w:t xml:space="preserve"> </w:t>
      </w:r>
      <w:r>
        <w:t xml:space="preserve">1 August 2025 – 31 January 2026</w:t>
      </w:r>
    </w:p>
    <w:p>
      <w:pPr>
        <w:pStyle w:val="BodyText"/>
      </w:pPr>
      <w:r>
        <w:rPr>
          <w:bCs/>
          <w:b/>
        </w:rPr>
        <w:t xml:space="preserve">Primary Office Location:</w:t>
      </w:r>
      <w:r>
        <w:t xml:space="preserve"> </w:t>
      </w:r>
      <w:r>
        <w:t xml:space="preserve">Germany Munich (client premises)</w:t>
      </w:r>
    </w:p>
    <w:p>
      <w:pPr>
        <w:pStyle w:val="BodyText"/>
      </w:pPr>
      <w:r>
        <w:rPr>
          <w:bCs/>
          <w:b/>
        </w:rPr>
        <w:t xml:space="preserve">Language of Deliverables:</w:t>
      </w:r>
      <w:r>
        <w:t xml:space="preserve"> </w:t>
      </w:r>
      <w:r>
        <w:t xml:space="preserve">English / German</w:t>
      </w:r>
    </w:p>
    <w:bookmarkEnd w:id="24"/>
    <w:p>
      <w:pPr>
        <w:pStyle w:val="BodyText"/>
      </w:pPr>
      <w:r>
        <w:t xml:space="preserve">1. Scope of Services — Business Consultant Engagement</w:t>
      </w:r>
    </w:p>
    <w:p>
      <w:pPr>
        <w:pStyle w:val="BodyText"/>
      </w:pPr>
      <w:r>
        <w:t xml:space="preserve">This</w:t>
      </w:r>
      <w:r>
        <w:t xml:space="preserve"> </w:t>
      </w:r>
      <w:r>
        <w:t xml:space="preserve">Quotation Estimate</w:t>
      </w:r>
      <w:r>
        <w:t xml:space="preserve"> </w:t>
      </w:r>
      <w:r>
        <w:t xml:space="preserve">outlines the comprehensive professional services to be delivered by the undersigned</w:t>
      </w:r>
      <w:r>
        <w:t xml:space="preserve"> </w:t>
      </w:r>
      <w:r>
        <w:t xml:space="preserve">Business Consultant</w:t>
      </w:r>
      <w:r>
        <w:t xml:space="preserve"> </w:t>
      </w:r>
      <w:r>
        <w:t xml:space="preserve">to the client organisation, with all on-site work conducted in</w:t>
      </w:r>
      <w:r>
        <w:t xml:space="preserve"> </w:t>
      </w:r>
      <w:r>
        <w:t xml:space="preserve">Germany Munich</w:t>
      </w:r>
      <w:r>
        <w:t xml:space="preserve">. The engagement is designed to support the client in achieving measurable improvements in strategic planning, operational efficiency, and market positioning within the competitive Munich business environment. The Business Consultant will operate in accordance with the professional standards set by the German Consulting Association (Deutscher Consulting Verband) and applicable Bavarian commercial regulations.</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(EUR)</w:t>
            </w:r>
          </w:p>
        </w:tc>
        <w:tc>
          <w:tcPr/>
          <w:p>
            <w:pPr>
              <w:pStyle w:val="Compact"/>
              <w:jc w:val="left"/>
            </w:pPr>
            <w:r>
              <w:t xml:space="preserve">Subtotal (EUR)</w:t>
            </w:r>
          </w:p>
        </w:tc>
        <w:tc>
          <w:tcPr/>
          <w:p>
            <w:pPr>
              <w:pStyle w:val="Compact"/>
              <w:jc w:val="left"/>
            </w:pPr>
            <w:r>
              <w:t xml:space="preserve">VAT (19%)</w:t>
            </w:r>
          </w:p>
        </w:tc>
      </w:tr>
      <w:tr>
        <w:tc>
          <w:tcPr/>
          <w:p>
            <w:pPr>
              <w:pStyle w:val="Compact"/>
              <w:jc w:val="left"/>
            </w:pPr>
            <w:r>
              <w:t xml:space="preserve">01</w:t>
            </w:r>
          </w:p>
        </w:tc>
        <w:tc>
          <w:tcPr/>
          <w:p>
            <w:pPr>
              <w:pStyle w:val="Compact"/>
              <w:jc w:val="left"/>
            </w:pPr>
            <w:r>
              <w:t xml:space="preserve">Initial diagnostic assessment and stakeholder interviews at client offices in Germany Munich</w:t>
            </w:r>
          </w:p>
        </w:tc>
        <w:tc>
          <w:tcPr/>
          <w:p>
            <w:pPr>
              <w:pStyle w:val="Compact"/>
              <w:jc w:val="left"/>
            </w:pPr>
            <w:r>
              <w:t xml:space="preserve">5 days</w:t>
            </w:r>
          </w:p>
        </w:tc>
        <w:tc>
          <w:tcPr/>
          <w:p>
            <w:pPr>
              <w:pStyle w:val="Compact"/>
              <w:jc w:val="left"/>
            </w:pPr>
            <w:r>
              <w:t xml:space="preserve">€1,200.00 / day</w:t>
            </w:r>
          </w:p>
        </w:tc>
        <w:tc>
          <w:tcPr/>
          <w:p>
            <w:pPr>
              <w:pStyle w:val="Compact"/>
              <w:jc w:val="left"/>
            </w:pPr>
            <w:r>
              <w:t xml:space="preserve">€6,000.00</w:t>
            </w:r>
          </w:p>
        </w:tc>
        <w:tc>
          <w:tcPr/>
          <w:p>
            <w:pPr>
              <w:pStyle w:val="Compact"/>
              <w:jc w:val="left"/>
            </w:pPr>
            <w:r>
              <w:t xml:space="preserve">€1,140.00</w:t>
            </w:r>
          </w:p>
        </w:tc>
      </w:tr>
      <w:tr>
        <w:tc>
          <w:tcPr/>
          <w:p>
            <w:pPr>
              <w:pStyle w:val="Compact"/>
              <w:jc w:val="left"/>
            </w:pPr>
            <w:r>
              <w:t xml:space="preserve">02</w:t>
            </w:r>
          </w:p>
        </w:tc>
        <w:tc>
          <w:tcPr/>
          <w:p>
            <w:pPr>
              <w:pStyle w:val="Compact"/>
              <w:jc w:val="left"/>
            </w:pPr>
            <w:r>
              <w:t xml:space="preserve">Strategic business plan development and market analysis specific to the Munich metropolitan region</w:t>
            </w:r>
          </w:p>
        </w:tc>
        <w:tc>
          <w:tcPr/>
          <w:p>
            <w:pPr>
              <w:pStyle w:val="Compact"/>
              <w:jc w:val="left"/>
            </w:pPr>
            <w:r>
              <w:t xml:space="preserve">15 days</w:t>
            </w:r>
          </w:p>
        </w:tc>
        <w:tc>
          <w:tcPr/>
          <w:p>
            <w:pPr>
              <w:pStyle w:val="Compact"/>
              <w:jc w:val="left"/>
            </w:pPr>
            <w:r>
              <w:t xml:space="preserve">€1,200.00 / day</w:t>
            </w:r>
          </w:p>
        </w:tc>
        <w:tc>
          <w:tcPr/>
          <w:p>
            <w:pPr>
              <w:pStyle w:val="Compact"/>
              <w:jc w:val="left"/>
            </w:pPr>
            <w:r>
              <w:t xml:space="preserve">€18,000.00</w:t>
            </w:r>
          </w:p>
        </w:tc>
        <w:tc>
          <w:tcPr/>
          <w:p>
            <w:pPr>
              <w:pStyle w:val="Compact"/>
              <w:jc w:val="left"/>
            </w:pPr>
            <w:r>
              <w:t xml:space="preserve">€3,420.00</w:t>
            </w:r>
          </w:p>
        </w:tc>
      </w:tr>
      <w:tr>
        <w:tc>
          <w:tcPr/>
          <w:p>
            <w:pPr>
              <w:pStyle w:val="Compact"/>
              <w:jc w:val="left"/>
            </w:pPr>
            <w:r>
              <w:t xml:space="preserve">03</w:t>
            </w:r>
          </w:p>
        </w:tc>
        <w:tc>
          <w:tcPr/>
          <w:p>
            <w:pPr>
              <w:pStyle w:val="Compact"/>
              <w:jc w:val="left"/>
            </w:pPr>
            <w:r>
              <w:t xml:space="preserve">Operational process optimisation and workflow redesign (on-site in Germany Munich)</w:t>
            </w:r>
          </w:p>
        </w:tc>
        <w:tc>
          <w:tcPr/>
          <w:p>
            <w:pPr>
              <w:pStyle w:val="Compact"/>
              <w:jc w:val="left"/>
            </w:pPr>
            <w:r>
              <w:t xml:space="preserve">20 days</w:t>
            </w:r>
          </w:p>
        </w:tc>
        <w:tc>
          <w:tcPr/>
          <w:p>
            <w:pPr>
              <w:pStyle w:val="Compact"/>
              <w:jc w:val="left"/>
            </w:pPr>
            <w:r>
              <w:t xml:space="preserve">€1,200.00 / day</w:t>
            </w:r>
          </w:p>
        </w:tc>
        <w:tc>
          <w:tcPr/>
          <w:p>
            <w:pPr>
              <w:pStyle w:val="Compact"/>
              <w:jc w:val="left"/>
            </w:pPr>
            <w:r>
              <w:t xml:space="preserve">€24,000.00</w:t>
            </w:r>
          </w:p>
        </w:tc>
        <w:tc>
          <w:tcPr/>
          <w:p>
            <w:pPr>
              <w:pStyle w:val="Compact"/>
              <w:jc w:val="left"/>
            </w:pPr>
            <w:r>
              <w:t xml:space="preserve">€4,560.00</w:t>
            </w:r>
          </w:p>
        </w:tc>
      </w:tr>
      <w:tr>
        <w:tc>
          <w:tcPr/>
          <w:p>
            <w:pPr>
              <w:pStyle w:val="Compact"/>
              <w:jc w:val="left"/>
            </w:pPr>
            <w:r>
              <w:t xml:space="preserve">04</w:t>
            </w:r>
          </w:p>
        </w:tc>
        <w:tc>
          <w:tcPr/>
          <w:p>
            <w:pPr>
              <w:pStyle w:val="Compact"/>
              <w:jc w:val="left"/>
            </w:pPr>
            <w:r>
              <w:t xml:space="preserve">Leadership and team capability workshops (4 sessions, 8 hours each, held in Munich)</w:t>
            </w:r>
          </w:p>
        </w:tc>
        <w:tc>
          <w:tcPr/>
          <w:p>
            <w:pPr>
              <w:pStyle w:val="Compact"/>
              <w:jc w:val="left"/>
            </w:pPr>
            <w:r>
              <w:t xml:space="preserve">4 sessions</w:t>
            </w:r>
          </w:p>
        </w:tc>
        <w:tc>
          <w:tcPr/>
          <w:p>
            <w:pPr>
              <w:pStyle w:val="Compact"/>
              <w:jc w:val="left"/>
            </w:pPr>
            <w:r>
              <w:t xml:space="preserve">€2,500.00 / session</w:t>
            </w:r>
          </w:p>
        </w:tc>
        <w:tc>
          <w:tcPr/>
          <w:p>
            <w:pPr>
              <w:pStyle w:val="Compact"/>
              <w:jc w:val="left"/>
            </w:pPr>
            <w:r>
              <w:t xml:space="preserve">€10,000.00</w:t>
            </w:r>
          </w:p>
        </w:tc>
        <w:tc>
          <w:tcPr/>
          <w:p>
            <w:pPr>
              <w:pStyle w:val="Compact"/>
              <w:jc w:val="left"/>
            </w:pPr>
            <w:r>
              <w:t xml:space="preserve">€1,900.00</w:t>
            </w:r>
          </w:p>
        </w:tc>
      </w:tr>
      <w:tr>
        <w:tc>
          <w:tcPr/>
          <w:p>
            <w:pPr>
              <w:pStyle w:val="Compact"/>
              <w:jc w:val="left"/>
            </w:pPr>
            <w:r>
              <w:t xml:space="preserve">05</w:t>
            </w:r>
          </w:p>
        </w:tc>
        <w:tc>
          <w:tcPr/>
          <w:p>
            <w:pPr>
              <w:pStyle w:val="Compact"/>
              <w:jc w:val="left"/>
            </w:pPr>
            <w:r>
              <w:t xml:space="preserve">Quarterly progress reviews and KPI reporting (4 reviews over 6 months)</w:t>
            </w:r>
          </w:p>
        </w:tc>
        <w:tc>
          <w:tcPr/>
          <w:p>
            <w:pPr>
              <w:pStyle w:val="Compact"/>
              <w:jc w:val="left"/>
            </w:pPr>
            <w:r>
              <w:t xml:space="preserve">4 reviews</w:t>
            </w:r>
          </w:p>
        </w:tc>
        <w:tc>
          <w:tcPr/>
          <w:p>
            <w:pPr>
              <w:pStyle w:val="Compact"/>
              <w:jc w:val="left"/>
            </w:pPr>
            <w:r>
              <w:t xml:space="preserve">€1,800.00 / review</w:t>
            </w:r>
          </w:p>
        </w:tc>
        <w:tc>
          <w:tcPr/>
          <w:p>
            <w:pPr>
              <w:pStyle w:val="Compact"/>
              <w:jc w:val="left"/>
            </w:pPr>
            <w:r>
              <w:t xml:space="preserve">€7,200.00</w:t>
            </w:r>
          </w:p>
        </w:tc>
        <w:tc>
          <w:tcPr/>
          <w:p>
            <w:pPr>
              <w:pStyle w:val="Compact"/>
              <w:jc w:val="left"/>
            </w:pPr>
            <w:r>
              <w:t xml:space="preserve">€1,368.00</w:t>
            </w:r>
          </w:p>
        </w:tc>
      </w:tr>
      <w:tr>
        <w:tc>
          <w:tcPr/>
          <w:p>
            <w:pPr>
              <w:pStyle w:val="Compact"/>
              <w:jc w:val="left"/>
            </w:pPr>
            <w:r>
              <w:t xml:space="preserve">06</w:t>
            </w:r>
          </w:p>
        </w:tc>
        <w:tc>
          <w:tcPr/>
          <w:p>
            <w:pPr>
              <w:pStyle w:val="Compact"/>
              <w:jc w:val="left"/>
            </w:pPr>
            <w:r>
              <w:t xml:space="preserve">Final comprehensive report, implementation roadmap, and 30-day post-engagement support</w:t>
            </w:r>
          </w:p>
        </w:tc>
        <w:tc>
          <w:tcPr/>
          <w:p>
            <w:pPr>
              <w:pStyle w:val="Compact"/>
              <w:jc w:val="left"/>
            </w:pPr>
            <w:r>
              <w:t xml:space="preserve">1 deliverable</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€1,045.00</w:t>
            </w:r>
          </w:p>
        </w:tc>
      </w:tr>
      <w:tr>
        <w:tc>
          <w:tcPr/>
          <w:p>
            <w:pPr>
              <w:pStyle w:val="Compact"/>
              <w:jc w:val="left"/>
            </w:pPr>
            <w:r>
              <w:t xml:space="preserve">07</w:t>
            </w:r>
          </w:p>
        </w:tc>
        <w:tc>
          <w:tcPr/>
          <w:p>
            <w:pPr>
              <w:pStyle w:val="Compact"/>
              <w:jc w:val="left"/>
            </w:pPr>
            <w:r>
              <w:t xml:space="preserve">Travel and local transportation within Munich and surrounding Bavarian districts</w:t>
            </w:r>
          </w:p>
        </w:tc>
        <w:tc>
          <w:tcPr/>
          <w:p>
            <w:pPr>
              <w:pStyle w:val="Compact"/>
              <w:jc w:val="left"/>
            </w:pPr>
            <w:r>
              <w:t xml:space="preserve">Estimated</w:t>
            </w:r>
          </w:p>
        </w:tc>
        <w:tc>
          <w:tcPr/>
          <w:p>
            <w:pPr>
              <w:pStyle w:val="Compact"/>
              <w:jc w:val="left"/>
            </w:pPr>
            <w:r>
              <w:t xml:space="preserve">€450.00 flat</w:t>
            </w:r>
          </w:p>
        </w:tc>
        <w:tc>
          <w:tcPr/>
          <w:p>
            <w:pPr>
              <w:pStyle w:val="Compact"/>
              <w:jc w:val="left"/>
            </w:pPr>
            <w:r>
              <w:t xml:space="preserve">€450.00</w:t>
            </w:r>
          </w:p>
        </w:tc>
        <w:tc>
          <w:tcPr/>
          <w:p>
            <w:pPr>
              <w:pStyle w:val="Compact"/>
              <w:jc w:val="left"/>
            </w:pPr>
            <w:r>
              <w:t xml:space="preserve">€85.50</w:t>
            </w:r>
          </w:p>
        </w:tc>
      </w:tr>
      <w:tr>
        <w:tc>
          <w:tcPr>
            <w:gridSpan w:val="4"/>
          </w:tcPr>
          <w:p>
            <w:pPr>
              <w:pStyle w:val="Compact"/>
              <w:jc w:val="left"/>
            </w:pPr>
            <w:r>
              <w:rPr>
                <w:bCs/>
                <w:b/>
              </w:rPr>
              <w:t xml:space="preserve">TOTAL (Net)</w:t>
            </w:r>
          </w:p>
        </w:tc>
        <w:tc>
          <w:tcPr/>
          <w:p>
            <w:pPr>
              <w:pStyle w:val="Compact"/>
              <w:jc w:val="left"/>
            </w:pPr>
            <w:r>
              <w:rPr>
                <w:bCs/>
                <w:b/>
              </w:rPr>
              <w:t xml:space="preserve">€71,150.00</w:t>
            </w:r>
          </w:p>
        </w:tc>
        <w:tc>
          <w:tcPr/>
          <w:p>
            <w:pPr>
              <w:pStyle w:val="Compact"/>
              <w:jc w:val="left"/>
            </w:pPr>
            <w:r>
              <w:rPr>
                <w:bCs/>
                <w:b/>
              </w:rPr>
              <w:t xml:space="preserve">€13,518.50</w:t>
            </w:r>
          </w:p>
        </w:tc>
      </w:tr>
      <w:tr>
        <w:tc>
          <w:tcPr>
            <w:gridSpan w:val="4"/>
          </w:tcPr>
          <w:p>
            <w:pPr>
              <w:pStyle w:val="Compact"/>
              <w:jc w:val="left"/>
            </w:pPr>
            <w:r>
              <w:rPr>
                <w:bCs/>
                <w:b/>
              </w:rPr>
              <w:t xml:space="preserve">TOTAL (Gross incl. 19% VAT)</w:t>
            </w:r>
          </w:p>
        </w:tc>
        <w:tc>
          <w:tcPr>
            <w:gridSpan w:val="2"/>
          </w:tcPr>
          <w:p>
            <w:pPr>
              <w:pStyle w:val="Compact"/>
              <w:jc w:val="left"/>
            </w:pPr>
            <w:r>
              <w:rPr>
                <w:bCs/>
                <w:b/>
              </w:rPr>
              <w:t xml:space="preserve">€84,668.50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rates and availability must be reconfirmed in writing by the Business Consultant.</w:t>
      </w:r>
    </w:p>
    <w:p>
      <w:pPr>
        <w:numPr>
          <w:ilvl w:val="0"/>
          <w:numId w:val="1001"/>
        </w:numPr>
        <w:pStyle w:val="Compact"/>
      </w:pPr>
      <w:r>
        <w:t xml:space="preserve">All services described herein shall be performed by the named Business Consultant or, with prior written consent of the client, by qualified associates of Steinberger Strategy &amp; Advisory GmbH. All on-site work will take place at the client's premises in Germany Munich unless otherwise agreed.</w:t>
      </w:r>
    </w:p>
    <w:p>
      <w:pPr>
        <w:numPr>
          <w:ilvl w:val="0"/>
          <w:numId w:val="1001"/>
        </w:numPr>
        <w:pStyle w:val="Compact"/>
      </w:pPr>
      <w:r>
        <w:t xml:space="preserve">Payment terms: 30% advance payment upon acceptance of this Quotation Estimate; 40% upon completion of the strategic plan deliverable (Item 02); 30% upon final delivery and acceptance of the comprehensive report (Item 06). Invoices are payable within 14 days of receipt in accordance with German commercial law (HGB § 362).</w:t>
      </w:r>
    </w:p>
    <w:p>
      <w:pPr>
        <w:numPr>
          <w:ilvl w:val="0"/>
          <w:numId w:val="1001"/>
        </w:numPr>
        <w:pStyle w:val="Compact"/>
      </w:pPr>
      <w:r>
        <w:t xml:space="preserve">Value Added Tax (VAT / Umsatzsteuer) at the standard rate of 19% applies as per the German Tax Code (Abgabenordnung, AO). The Business Consultant is registered for VAT in Germany Munich under the USt-IdNr. stated above.</w:t>
      </w:r>
    </w:p>
    <w:p>
      <w:pPr>
        <w:numPr>
          <w:ilvl w:val="0"/>
          <w:numId w:val="1001"/>
        </w:numPr>
        <w:pStyle w:val="Compact"/>
      </w:pPr>
      <w:r>
        <w:t xml:space="preserve">The client agrees to provide reasonable access to internal data, personnel, and facilities in Germany Munich necessary for the Business Consultant to perform the engagement. Confidentiality is governed by a separate Non-Disclosure Agreement (NDA) to be executed prior to commencement.</w:t>
      </w:r>
    </w:p>
    <w:p>
      <w:pPr>
        <w:numPr>
          <w:ilvl w:val="0"/>
          <w:numId w:val="1001"/>
        </w:numPr>
        <w:pStyle w:val="Compact"/>
      </w:pPr>
      <w:r>
        <w:t xml:space="preserve">Any changes to the scope of work beyond the parameters defined in this Quotation Estimate will be subject to a written change order and additional fees at the Business Consultant's standard daily rate of €1,200.00 plus applicable VAT.</w:t>
      </w:r>
    </w:p>
    <w:p>
      <w:pPr>
        <w:numPr>
          <w:ilvl w:val="0"/>
          <w:numId w:val="1001"/>
        </w:numPr>
        <w:pStyle w:val="Compact"/>
      </w:pPr>
      <w:r>
        <w:t xml:space="preserve">Force majeure events, including but not limited to natural disasters, pandemics, or government-mandated restrictions affecting operations in Germany Munich, shall suspend obligations proportionally without penalty to either party.</w:t>
      </w:r>
    </w:p>
    <w:p>
      <w:pPr>
        <w:numPr>
          <w:ilvl w:val="0"/>
          <w:numId w:val="1001"/>
        </w:numPr>
        <w:pStyle w:val="Compact"/>
      </w:pPr>
      <w:r>
        <w:t xml:space="preserve">Governing law: The laws of the Federal Republic of Germany. Exclusive jurisdiction for any disputes arising from this Quotation Estimate and the resulting engagement shall be the competent courts in Munich, Bavaria.</w:t>
      </w:r>
    </w:p>
    <w:p>
      <w:pPr>
        <w:numPr>
          <w:ilvl w:val="0"/>
          <w:numId w:val="1001"/>
        </w:numPr>
        <w:pStyle w:val="Compact"/>
      </w:pPr>
      <w:r>
        <w:t xml:space="preserve">This Quotation Estimate does not constitute a binding contract until countersigned by both parties. Upon signature, it forms part of the master service agreement between the Business Consultant and the client.</w:t>
      </w:r>
    </w:p>
    <w:p>
      <w:pPr>
        <w:pStyle w:val="FirstParagraph"/>
      </w:pPr>
      <w:r>
        <w:t xml:space="preserve">4. Acceptance and Authorisation</w:t>
      </w:r>
    </w:p>
    <w:p>
      <w:pPr>
        <w:pStyle w:val="BodyText"/>
      </w:pPr>
      <w:r>
        <w:t xml:space="preserve">By signing below, both parties acknowledge and accept the terms, conditions, and pricing set forth in this</w:t>
      </w:r>
      <w:r>
        <w:t xml:space="preserve"> </w:t>
      </w:r>
      <w:r>
        <w:t xml:space="preserve">Quotation Estimate</w:t>
      </w:r>
      <w:r>
        <w:t xml:space="preserve"> </w:t>
      </w:r>
      <w:r>
        <w:t xml:space="preserve">for the</w:t>
      </w:r>
      <w:r>
        <w:t xml:space="preserve"> </w:t>
      </w:r>
      <w:r>
        <w:t xml:space="preserve">Business Consultant</w:t>
      </w:r>
      <w:r>
        <w:t xml:space="preserve"> </w:t>
      </w:r>
      <w:r>
        <w:t xml:space="preserve">engagement to be conducted in</w:t>
      </w:r>
      <w:r>
        <w:t xml:space="preserve"> </w:t>
      </w:r>
      <w:r>
        <w:t xml:space="preserve">Germany Munich</w:t>
      </w:r>
      <w:r>
        <w:t xml:space="preserve">.</w:t>
      </w:r>
    </w:p>
    <w:p>
      <w:pPr>
        <w:pStyle w:val="BodyText"/>
      </w:pPr>
      <w:r>
        <w:rPr>
          <w:bCs/>
          <w:b/>
        </w:rPr>
        <w:t xml:space="preserve">For the Business Consultant:</w:t>
      </w:r>
    </w:p>
    <w:p>
      <w:pPr>
        <w:pStyle w:val="BodyText"/>
      </w:pPr>
      <w:r>
        <w:t xml:space="preserve">Dr. Markus Steinberger</w:t>
      </w:r>
    </w:p>
    <w:p>
      <w:pPr>
        <w:pStyle w:val="BodyText"/>
      </w:pPr>
      <w:r>
        <w:t xml:space="preserve">Steinberger Strategy &amp; Advisory GmbH</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and Title]</w:t>
      </w:r>
    </w:p>
    <w:p>
      <w:pPr>
        <w:pStyle w:val="BodyText"/>
      </w:pPr>
      <w:r>
        <w:t xml:space="preserve">[Client Company Name] GmbH</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(QTE-MUC-2025-0472) was prepared by Steinberger Strategy &amp; Advisory GmbH, a Business Consultant firm registered in Germany Munich.</w:t>
      </w:r>
      <w:r>
        <w:t xml:space="preserve"> </w:t>
      </w:r>
      <w:r>
        <w:t xml:space="preserve">All figures are in Euro (EUR). This document is confidential and intended solely for the named recipient.</w:t>
      </w:r>
      <w:r>
        <w:t xml:space="preserve"> </w:t>
      </w:r>
      <w:r>
        <w:t xml:space="preserve">© 2025 Steinberger Strategy &amp; Advisory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Germany Munich</dc:title>
  <dc:creator/>
  <dc:language>en</dc:language>
  <cp:keywords/>
  <dcterms:created xsi:type="dcterms:W3CDTF">2026-10-10T05:12:00Z</dcterms:created>
  <dcterms:modified xsi:type="dcterms:W3CDTF">2026-10-10T05:12:00Z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