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Ghana</w:t>
      </w:r>
      <w:r>
        <w:t xml:space="preserve"> </w:t>
      </w:r>
      <w:r>
        <w:t xml:space="preserve">Accra</w:t>
      </w:r>
    </w:p>
    <w:bookmarkStart w:id="20" w:name="strategic-vision-consulting-ltd."/>
    <w:p>
      <w:pPr>
        <w:pStyle w:val="Heading1"/>
      </w:pPr>
      <w:r>
        <w:t xml:space="preserve">STRATEGIC VISION CONSULTING LTD.</w:t>
      </w:r>
    </w:p>
    <w:p>
      <w:pPr>
        <w:pStyle w:val="FirstParagraph"/>
      </w:pPr>
      <w:r>
        <w:t xml:space="preserve">12 Independence Avenue, Ridge, Accra, Ghana</w:t>
      </w:r>
    </w:p>
    <w:p>
      <w:pPr>
        <w:pStyle w:val="BodyText"/>
      </w:pPr>
      <w:r>
        <w:t xml:space="preserve">Tel: +233 30 277 4521 | Email: info@strategicvisiongh.com</w:t>
      </w:r>
    </w:p>
    <w:p>
      <w:pPr>
        <w:pStyle w:val="BodyText"/>
      </w:pPr>
      <w:r>
        <w:t xml:space="preserve">RC Number: 20190123-4567 | TIN: 10523456789</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SVC/QE/2025/00847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Service Location:</w:t>
      </w:r>
      <w:r>
        <w:t xml:space="preserve"> </w:t>
      </w:r>
      <w:r>
        <w:t xml:space="preserve">Ghana Accra</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[Street Address], Accra, Ghana</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[client@email.com]</w:t>
      </w:r>
    </w:p>
    <w:bookmarkEnd w:id="22"/>
    <w:p>
      <w:pPr>
        <w:pStyle w:val="BodyText"/>
      </w:pPr>
      <w:r>
        <w:t xml:space="preserve">Dear Valued Client,</w:t>
      </w:r>
    </w:p>
    <w:p>
      <w:pPr>
        <w:pStyle w:val="BodyText"/>
      </w:pPr>
      <w:r>
        <w:t xml:space="preserve">Thank you for considering Strategic Vision Consulting Ltd. as your</w:t>
      </w:r>
      <w:r>
        <w:t xml:space="preserve"> </w:t>
      </w:r>
      <w:r>
        <w:t xml:space="preserve">Business Consultant</w:t>
      </w:r>
      <w:r>
        <w:t xml:space="preserve"> </w:t>
      </w:r>
      <w:r>
        <w:t xml:space="preserve">in the dynamic commercial landscape of</w:t>
      </w:r>
      <w:r>
        <w:t xml:space="preserve"> </w:t>
      </w:r>
      <w:r>
        <w:t xml:space="preserve">Ghana Accra</w:t>
      </w:r>
      <w:r>
        <w:t xml:space="preserve">. This</w:t>
      </w:r>
      <w:r>
        <w:t xml:space="preserve"> </w:t>
      </w:r>
      <w:r>
        <w:t xml:space="preserve">Quotation Estimate</w:t>
      </w:r>
      <w:r>
        <w:t xml:space="preserve"> </w:t>
      </w:r>
      <w:r>
        <w:t xml:space="preserve">has been carefully prepared to outline the professional advisory services we will deliver to support your organisation's strategic growth, operational efficiency, and market positioning within the Greater Accra Region and beyond. Our team of experienced</w:t>
      </w:r>
      <w:r>
        <w:t xml:space="preserve"> </w:t>
      </w:r>
      <w:r>
        <w:t xml:space="preserve">Business Consultant</w:t>
      </w:r>
      <w:r>
        <w:t xml:space="preserve"> </w:t>
      </w:r>
      <w:r>
        <w:t xml:space="preserve">professionals brings over fifteen years of combined expertise in corporate strategy, financial restructuring, market entry planning, and organisational development tailored specifically to the Ghanaian business environment.</w:t>
      </w:r>
    </w:p>
    <w:bookmarkStart w:id="23" w:name="X38c04614c6852dc42671939c78d168ce144be86"/>
    <w:p>
      <w:pPr>
        <w:pStyle w:val="Heading2"/>
      </w:pPr>
      <w:r>
        <w:t xml:space="preserve">Scope of Services – Business Consultant Engagement</w:t>
      </w:r>
    </w:p>
    <w:p>
      <w:pPr>
        <w:pStyle w:val="FirstParagraph"/>
      </w:pPr>
      <w:r>
        <w:t xml:space="preserve">The following</w:t>
      </w:r>
      <w:r>
        <w:t xml:space="preserve"> </w:t>
      </w:r>
      <w:r>
        <w:t xml:space="preserve">Quotation Estimate</w:t>
      </w:r>
      <w:r>
        <w:t xml:space="preserve"> </w:t>
      </w:r>
      <w:r>
        <w:t xml:space="preserve">covers a comprehensive engagement where our</w:t>
      </w:r>
      <w:r>
        <w:t xml:space="preserve"> </w:t>
      </w:r>
      <w:r>
        <w:t xml:space="preserve">Business Consultant</w:t>
      </w:r>
      <w:r>
        <w:t xml:space="preserve"> </w:t>
      </w:r>
      <w:r>
        <w:t xml:space="preserve">will work directly with your leadership team in</w:t>
      </w:r>
      <w:r>
        <w:t xml:space="preserve"> </w:t>
      </w:r>
      <w:r>
        <w:t xml:space="preserve">Ghana Accra</w:t>
      </w:r>
      <w:r>
        <w:t xml:space="preserve"> </w:t>
      </w:r>
      <w:r>
        <w:t xml:space="preserve">to address the key business challenges identified during our initial discovery meeting on 28 May 2025. The scope includes strategic planning, operational process optimisation, financial modelling, stakeholder engagement, and implementation oversight over a twelve-month period.</w:t>
      </w:r>
    </w:p>
    <w:bookmarkEnd w:id="23"/>
    <w:bookmarkStart w:id="24" w:name="itemised-cost-breakdown"/>
    <w:p>
      <w:pPr>
        <w:pStyle w:val="Heading2"/>
      </w:pPr>
      <w:r>
        <w:t xml:space="preserve">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(GHS)</w:t>
            </w:r>
          </w:p>
        </w:tc>
        <w:tc>
          <w:tcPr/>
          <w:p>
            <w:pPr>
              <w:pStyle w:val="Compact"/>
              <w:jc w:val="left"/>
            </w:pPr>
            <w:r>
              <w:t xml:space="preserve">Amount (GHS)</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Strategic Business Planning &amp; Market Analysis for Ghana Accra operations</w:t>
            </w:r>
          </w:p>
        </w:tc>
        <w:tc>
          <w:tcPr/>
          <w:p>
            <w:pPr>
              <w:pStyle w:val="Compact"/>
              <w:jc w:val="left"/>
            </w:pPr>
            <w:r>
              <w:t xml:space="preserve">Months 1–2</w:t>
            </w:r>
          </w:p>
        </w:tc>
        <w:tc>
          <w:tcPr/>
          <w:p>
            <w:pPr>
              <w:pStyle w:val="Compact"/>
              <w:jc w:val="left"/>
            </w:pPr>
            <w:r>
              <w:t xml:space="preserve">18,500 / month</w:t>
            </w:r>
          </w:p>
        </w:tc>
        <w:tc>
          <w:tcPr/>
          <w:p>
            <w:pPr>
              <w:pStyle w:val="Compact"/>
              <w:jc w:val="left"/>
            </w:pPr>
            <w:r>
              <w:t xml:space="preserve">37,000.00</w:t>
            </w:r>
          </w:p>
        </w:tc>
        <w:tc>
          <w:tcPr/>
          <w:p>
            <w:pPr>
              <w:pStyle w:val="Compact"/>
              <w:jc w:val="left"/>
            </w:pPr>
            <w:r>
              <w:t xml:space="preserve">On-site in Accra</w:t>
            </w:r>
          </w:p>
        </w:tc>
      </w:tr>
      <w:tr>
        <w:tc>
          <w:tcPr/>
          <w:p>
            <w:pPr>
              <w:pStyle w:val="Compact"/>
              <w:jc w:val="left"/>
            </w:pPr>
            <w:r>
              <w:t xml:space="preserve">2</w:t>
            </w:r>
          </w:p>
        </w:tc>
        <w:tc>
          <w:tcPr/>
          <w:p>
            <w:pPr>
              <w:pStyle w:val="Compact"/>
              <w:jc w:val="left"/>
            </w:pPr>
            <w:r>
              <w:t xml:space="preserve">Operational Process Audit &amp; Workflow Redesign</w:t>
            </w:r>
          </w:p>
        </w:tc>
        <w:tc>
          <w:tcPr/>
          <w:p>
            <w:pPr>
              <w:pStyle w:val="Compact"/>
              <w:jc w:val="left"/>
            </w:pPr>
            <w:r>
              <w:t xml:space="preserve">Months 2–4</w:t>
            </w:r>
          </w:p>
        </w:tc>
        <w:tc>
          <w:tcPr/>
          <w:p>
            <w:pPr>
              <w:pStyle w:val="Compact"/>
              <w:jc w:val="left"/>
            </w:pPr>
            <w:r>
              <w:t xml:space="preserve">16,000 / month</w:t>
            </w:r>
          </w:p>
        </w:tc>
        <w:tc>
          <w:tcPr/>
          <w:p>
            <w:pPr>
              <w:pStyle w:val="Compact"/>
              <w:jc w:val="left"/>
            </w:pPr>
            <w:r>
              <w:t xml:space="preserve">48,000.00</w:t>
            </w:r>
          </w:p>
        </w:tc>
        <w:tc>
          <w:tcPr/>
          <w:p>
            <w:pPr>
              <w:pStyle w:val="Compact"/>
              <w:jc w:val="left"/>
            </w:pPr>
            <w:r>
              <w:t xml:space="preserve">Hybrid (Accra + Remote)</w:t>
            </w:r>
          </w:p>
        </w:tc>
      </w:tr>
      <w:tr>
        <w:tc>
          <w:tcPr/>
          <w:p>
            <w:pPr>
              <w:pStyle w:val="Compact"/>
              <w:jc w:val="left"/>
            </w:pPr>
            <w:r>
              <w:t xml:space="preserve">3</w:t>
            </w:r>
          </w:p>
        </w:tc>
        <w:tc>
          <w:tcPr/>
          <w:p>
            <w:pPr>
              <w:pStyle w:val="Compact"/>
              <w:jc w:val="left"/>
            </w:pPr>
            <w:r>
              <w:t xml:space="preserve">Financial Modelling, Cash Flow Forecasting &amp; Investment Advisory</w:t>
            </w:r>
          </w:p>
        </w:tc>
        <w:tc>
          <w:tcPr/>
          <w:p>
            <w:pPr>
              <w:pStyle w:val="Compact"/>
              <w:jc w:val="left"/>
            </w:pPr>
            <w:r>
              <w:t xml:space="preserve">Months 3–6</w:t>
            </w:r>
          </w:p>
        </w:tc>
        <w:tc>
          <w:tcPr/>
          <w:p>
            <w:pPr>
              <w:pStyle w:val="Compact"/>
              <w:jc w:val="left"/>
            </w:pPr>
            <w:r>
              <w:t xml:space="preserve">14,500 / month</w:t>
            </w:r>
          </w:p>
        </w:tc>
        <w:tc>
          <w:tcPr/>
          <w:p>
            <w:pPr>
              <w:pStyle w:val="Compact"/>
              <w:jc w:val="left"/>
            </w:pPr>
            <w:r>
              <w:t xml:space="preserve">58,000.00</w:t>
            </w:r>
          </w:p>
        </w:tc>
        <w:tc>
          <w:tcPr/>
          <w:p>
            <w:pPr>
              <w:pStyle w:val="Compact"/>
              <w:jc w:val="left"/>
            </w:pPr>
            <w:r>
              <w:t xml:space="preserve">Business Consultant led</w:t>
            </w:r>
          </w:p>
        </w:tc>
      </w:tr>
      <w:tr>
        <w:tc>
          <w:tcPr/>
          <w:p>
            <w:pPr>
              <w:pStyle w:val="Compact"/>
              <w:jc w:val="left"/>
            </w:pPr>
            <w:r>
              <w:t xml:space="preserve">4</w:t>
            </w:r>
          </w:p>
        </w:tc>
        <w:tc>
          <w:tcPr/>
          <w:p>
            <w:pPr>
              <w:pStyle w:val="Compact"/>
              <w:jc w:val="left"/>
            </w:pPr>
            <w:r>
              <w:t xml:space="preserve">Organisational Development &amp; Leadership Training Programmes</w:t>
            </w:r>
          </w:p>
        </w:tc>
        <w:tc>
          <w:tcPr/>
          <w:p>
            <w:pPr>
              <w:pStyle w:val="Compact"/>
              <w:jc w:val="left"/>
            </w:pPr>
            <w:r>
              <w:t xml:space="preserve">Months 5–8</w:t>
            </w:r>
          </w:p>
        </w:tc>
        <w:tc>
          <w:tcPr/>
          <w:p>
            <w:pPr>
              <w:pStyle w:val="Compact"/>
              <w:jc w:val="left"/>
            </w:pPr>
            <w:r>
              <w:t xml:space="preserve">12,000 / month</w:t>
            </w:r>
          </w:p>
        </w:tc>
        <w:tc>
          <w:tcPr/>
          <w:p>
            <w:pPr>
              <w:pStyle w:val="Compact"/>
              <w:jc w:val="left"/>
            </w:pPr>
            <w:r>
              <w:t xml:space="preserve">48,000.00</w:t>
            </w:r>
          </w:p>
        </w:tc>
        <w:tc>
          <w:tcPr/>
          <w:p>
            <w:pPr>
              <w:pStyle w:val="Compact"/>
              <w:jc w:val="left"/>
            </w:pPr>
            <w:r>
              <w:t xml:space="preserve">Accra office delivery</w:t>
            </w:r>
          </w:p>
        </w:tc>
      </w:tr>
      <w:tr>
        <w:tc>
          <w:tcPr/>
          <w:p>
            <w:pPr>
              <w:pStyle w:val="Compact"/>
              <w:jc w:val="left"/>
            </w:pPr>
            <w:r>
              <w:t xml:space="preserve">5</w:t>
            </w:r>
          </w:p>
        </w:tc>
        <w:tc>
          <w:tcPr/>
          <w:p>
            <w:pPr>
              <w:pStyle w:val="Compact"/>
              <w:jc w:val="left"/>
            </w:pPr>
            <w:r>
              <w:t xml:space="preserve">Regulatory Compliance Review (GRA, GIPC, Data Protection Act)</w:t>
            </w:r>
          </w:p>
        </w:tc>
        <w:tc>
          <w:tcPr/>
          <w:p>
            <w:pPr>
              <w:pStyle w:val="Compact"/>
              <w:jc w:val="left"/>
            </w:pPr>
            <w:r>
              <w:t xml:space="preserve">Months 6–9</w:t>
            </w:r>
          </w:p>
        </w:tc>
        <w:tc>
          <w:tcPr/>
          <w:p>
            <w:pPr>
              <w:pStyle w:val="Compact"/>
              <w:jc w:val="left"/>
            </w:pPr>
            <w:r>
              <w:t xml:space="preserve">10,500 / month</w:t>
            </w:r>
          </w:p>
        </w:tc>
        <w:tc>
          <w:tcPr/>
          <w:p>
            <w:pPr>
              <w:pStyle w:val="Compact"/>
              <w:jc w:val="left"/>
            </w:pPr>
            <w:r>
              <w:t xml:space="preserve">31,500.00</w:t>
            </w:r>
          </w:p>
        </w:tc>
        <w:tc>
          <w:tcPr/>
          <w:p>
            <w:pPr>
              <w:pStyle w:val="Compact"/>
              <w:jc w:val="left"/>
            </w:pPr>
            <w:r>
              <w:t xml:space="preserve">Ghana-specific advisory</w:t>
            </w:r>
          </w:p>
        </w:tc>
      </w:tr>
      <w:tr>
        <w:tc>
          <w:tcPr/>
          <w:p>
            <w:pPr>
              <w:pStyle w:val="Compact"/>
              <w:jc w:val="left"/>
            </w:pPr>
            <w:r>
              <w:t xml:space="preserve">6</w:t>
            </w:r>
          </w:p>
        </w:tc>
        <w:tc>
          <w:tcPr/>
          <w:p>
            <w:pPr>
              <w:pStyle w:val="Compact"/>
              <w:jc w:val="left"/>
            </w:pPr>
            <w:r>
              <w:t xml:space="preserve">Stakeholder Engagement &amp; Investor Relations Strategy</w:t>
            </w:r>
          </w:p>
        </w:tc>
        <w:tc>
          <w:tcPr/>
          <w:p>
            <w:pPr>
              <w:pStyle w:val="Compact"/>
              <w:jc w:val="left"/>
            </w:pPr>
            <w:r>
              <w:t xml:space="preserve">Months 8–11</w:t>
            </w:r>
          </w:p>
        </w:tc>
        <w:tc>
          <w:tcPr/>
          <w:p>
            <w:pPr>
              <w:pStyle w:val="Compact"/>
              <w:jc w:val="left"/>
            </w:pPr>
            <w:r>
              <w:t xml:space="preserve">11,000 / month</w:t>
            </w:r>
          </w:p>
        </w:tc>
        <w:tc>
          <w:tcPr/>
          <w:p>
            <w:pPr>
              <w:pStyle w:val="Compact"/>
              <w:jc w:val="left"/>
            </w:pPr>
            <w:r>
              <w:t xml:space="preserve">33,000.00</w:t>
            </w:r>
          </w:p>
        </w:tc>
        <w:tc>
          <w:tcPr/>
          <w:p>
            <w:pPr>
              <w:pStyle w:val="Compact"/>
              <w:jc w:val="left"/>
            </w:pPr>
            <w:r>
              <w:t xml:space="preserve">Accra &amp; regional travel</w:t>
            </w:r>
          </w:p>
        </w:tc>
      </w:tr>
      <w:tr>
        <w:tc>
          <w:tcPr/>
          <w:p>
            <w:pPr>
              <w:pStyle w:val="Compact"/>
              <w:jc w:val="left"/>
            </w:pPr>
            <w:r>
              <w:t xml:space="preserve">7</w:t>
            </w:r>
          </w:p>
        </w:tc>
        <w:tc>
          <w:tcPr/>
          <w:p>
            <w:pPr>
              <w:pStyle w:val="Compact"/>
              <w:jc w:val="left"/>
            </w:pPr>
            <w:r>
              <w:t xml:space="preserve">Implementation Oversight, KPI Tracking &amp; Final Reporting</w:t>
            </w:r>
          </w:p>
        </w:tc>
        <w:tc>
          <w:tcPr/>
          <w:p>
            <w:pPr>
              <w:pStyle w:val="Compact"/>
              <w:jc w:val="left"/>
            </w:pPr>
            <w:r>
              <w:t xml:space="preserve">Months 10–12</w:t>
            </w:r>
          </w:p>
        </w:tc>
        <w:tc>
          <w:tcPr/>
          <w:p>
            <w:pPr>
              <w:pStyle w:val="Compact"/>
              <w:jc w:val="left"/>
            </w:pPr>
            <w:r>
              <w:t xml:space="preserve">13,000 / month</w:t>
            </w:r>
          </w:p>
        </w:tc>
        <w:tc>
          <w:tcPr/>
          <w:p>
            <w:pPr>
              <w:pStyle w:val="Compact"/>
              <w:jc w:val="left"/>
            </w:pPr>
            <w:r>
              <w:t xml:space="preserve">39,000.00</w:t>
            </w:r>
          </w:p>
        </w:tc>
        <w:tc>
          <w:tcPr/>
          <w:p>
            <w:pPr>
              <w:pStyle w:val="Compact"/>
              <w:jc w:val="left"/>
            </w:pPr>
            <w:r>
              <w:t xml:space="preserve">Business Consultant supervision</w:t>
            </w:r>
          </w:p>
        </w:tc>
      </w:tr>
      <w:tr>
        <w:tc>
          <w:tcPr/>
          <w:p>
            <w:pPr>
              <w:pStyle w:val="Compact"/>
              <w:jc w:val="left"/>
            </w:pPr>
            <w:r>
              <w:t xml:space="preserve">8</w:t>
            </w:r>
          </w:p>
        </w:tc>
        <w:tc>
          <w:tcPr/>
          <w:p>
            <w:pPr>
              <w:pStyle w:val="Compact"/>
              <w:jc w:val="left"/>
            </w:pPr>
            <w:r>
              <w:t xml:space="preserve">Travel, Accommodation &amp; Local Logistics within Ghana Accra</w:t>
            </w:r>
          </w:p>
        </w:tc>
        <w:tc>
          <w:tcPr/>
          <w:p>
            <w:pPr>
              <w:pStyle w:val="Compact"/>
              <w:jc w:val="left"/>
            </w:pPr>
            <w:r>
              <w:t xml:space="preserve">Full engagement</w:t>
            </w:r>
          </w:p>
        </w:tc>
        <w:tc>
          <w:tcPr/>
          <w:p>
            <w:pPr>
              <w:pStyle w:val="Compact"/>
              <w:jc w:val="left"/>
            </w:pPr>
            <w:r>
              <w:t xml:space="preserve">Flat fee</w:t>
            </w:r>
          </w:p>
        </w:tc>
        <w:tc>
          <w:tcPr/>
          <w:p>
            <w:pPr>
              <w:pStyle w:val="Compact"/>
              <w:jc w:val="left"/>
            </w:pPr>
            <w:r>
              <w:t xml:space="preserve">15,000.00</w:t>
            </w:r>
          </w:p>
        </w:tc>
        <w:tc>
          <w:tcPr/>
          <w:p>
            <w:pPr>
              <w:pStyle w:val="Compact"/>
              <w:jc w:val="left"/>
            </w:pPr>
            <w:r>
              <w:t xml:space="preserve">Accra-based operations</w:t>
            </w:r>
          </w:p>
        </w:tc>
      </w:tr>
      <w:tr>
        <w:tc>
          <w:tcPr/>
          <w:p>
            <w:pPr>
              <w:pStyle w:val="Compact"/>
              <w:jc w:val="left"/>
            </w:pPr>
            <w:r>
              <w:t xml:space="preserve">9</w:t>
            </w:r>
          </w:p>
        </w:tc>
        <w:tc>
          <w:tcPr/>
          <w:p>
            <w:pPr>
              <w:pStyle w:val="Compact"/>
              <w:jc w:val="left"/>
            </w:pPr>
            <w:r>
              <w:t xml:space="preserve">Project Management &amp; Administrative Support</w:t>
            </w:r>
          </w:p>
        </w:tc>
        <w:tc>
          <w:tcPr/>
          <w:p>
            <w:pPr>
              <w:pStyle w:val="Compact"/>
              <w:jc w:val="left"/>
            </w:pPr>
            <w:r>
              <w:t xml:space="preserve">Full engagement</w:t>
            </w:r>
          </w:p>
        </w:tc>
        <w:tc>
          <w:tcPr/>
          <w:p>
            <w:pPr>
              <w:pStyle w:val="Compact"/>
              <w:jc w:val="left"/>
            </w:pPr>
            <w:r>
              <w:t xml:space="preserve">Flat fee</w:t>
            </w:r>
          </w:p>
        </w:tc>
        <w:tc>
          <w:tcPr/>
          <w:p>
            <w:pPr>
              <w:pStyle w:val="Compact"/>
              <w:jc w:val="left"/>
            </w:pPr>
            <w:r>
              <w:t xml:space="preserve">22,500.00</w:t>
            </w:r>
          </w:p>
        </w:tc>
        <w:tc>
          <w:tcPr/>
          <w:p>
            <w:pPr>
              <w:pStyle w:val="Compact"/>
              <w:jc w:val="left"/>
            </w:pPr>
            <w:r>
              <w:t xml:space="preserve">Included in Quotation Estimate</w:t>
            </w:r>
          </w:p>
        </w:tc>
      </w:tr>
      <w:tr>
        <w:tc>
          <w:tcPr>
            <w:gridSpan w:val="4"/>
          </w:tcPr>
          <w:p>
            <w:pPr>
              <w:pStyle w:val="Compact"/>
              <w:jc w:val="left"/>
            </w:pPr>
            <w:r>
              <w:t xml:space="preserve">TOTAL ESTIMATED COST (GHS)</w:t>
            </w:r>
          </w:p>
        </w:tc>
        <w:tc>
          <w:tcPr/>
          <w:p>
            <w:pPr>
              <w:pStyle w:val="Compact"/>
              <w:jc w:val="left"/>
            </w:pPr>
            <w:r>
              <w:t xml:space="preserve">332,000.00</w:t>
            </w:r>
          </w:p>
        </w:tc>
        <w:tc>
          <w:tcPr/>
          <w:p>
            <w:pPr>
              <w:pStyle w:val="Compact"/>
            </w:pPr>
          </w:p>
        </w:tc>
      </w:tr>
      <w:tr>
        <w:tc>
          <w:tcPr>
            <w:gridSpan w:val="4"/>
          </w:tcPr>
          <w:p>
            <w:pPr>
              <w:pStyle w:val="Compact"/>
              <w:jc w:val="left"/>
            </w:pPr>
            <w:r>
              <w:t xml:space="preserve">VAT @ 15% (Ghana Revenue Authority)</w:t>
            </w:r>
          </w:p>
        </w:tc>
        <w:tc>
          <w:tcPr/>
          <w:p>
            <w:pPr>
              <w:pStyle w:val="Compact"/>
              <w:jc w:val="left"/>
            </w:pPr>
            <w:r>
              <w:t xml:space="preserve">49,800.00</w:t>
            </w:r>
          </w:p>
        </w:tc>
        <w:tc>
          <w:tcPr/>
          <w:p>
            <w:pPr>
              <w:pStyle w:val="Compact"/>
            </w:pPr>
          </w:p>
        </w:tc>
      </w:tr>
      <w:tr>
        <w:tc>
          <w:tcPr>
            <w:gridSpan w:val="4"/>
          </w:tcPr>
          <w:p>
            <w:pPr>
              <w:pStyle w:val="Compact"/>
              <w:jc w:val="left"/>
            </w:pPr>
            <w:r>
              <w:t xml:space="preserve">GRAND TOTAL (GHS)</w:t>
            </w:r>
          </w:p>
        </w:tc>
        <w:tc>
          <w:tcPr/>
          <w:p>
            <w:pPr>
              <w:pStyle w:val="Compact"/>
              <w:jc w:val="left"/>
            </w:pPr>
            <w:r>
              <w:t xml:space="preserve">381,800.00</w:t>
            </w:r>
          </w:p>
        </w:tc>
        <w:tc>
          <w:tcPr/>
          <w:p>
            <w:pPr>
              <w:pStyle w:val="Compact"/>
            </w:pPr>
          </w:p>
        </w:tc>
      </w:tr>
    </w:tbl>
    <w:bookmarkEnd w:id="24"/>
    <w:bookmarkStart w:id="25" w:name="payment-terms"/>
    <w:p>
      <w:pPr>
        <w:pStyle w:val="Heading2"/>
      </w:pPr>
      <w:r>
        <w:t xml:space="preserve">Payment Terms</w:t>
      </w:r>
    </w:p>
    <w:p>
      <w:pPr>
        <w:numPr>
          <w:ilvl w:val="0"/>
          <w:numId w:val="1001"/>
        </w:numPr>
        <w:pStyle w:val="Compact"/>
      </w:pPr>
      <w:r>
        <w:t xml:space="preserve">A mobilisation payment of 25% (GHS 95,450.00) is due within seven (7) business days of signed acceptance of this</w:t>
      </w:r>
      <w:r>
        <w:t xml:space="preserve"> </w:t>
      </w:r>
      <w:r>
        <w:t xml:space="preserve">Quotation Estimate</w:t>
      </w:r>
      <w:r>
        <w:t xml:space="preserve">.</w:t>
      </w:r>
    </w:p>
    <w:p>
      <w:pPr>
        <w:numPr>
          <w:ilvl w:val="0"/>
          <w:numId w:val="1001"/>
        </w:numPr>
        <w:pStyle w:val="Compact"/>
      </w:pPr>
      <w:r>
        <w:t xml:space="preserve">Quarterly progress payments of 20% each (GHS 76,360.00) are due at the end of Months 3, 6, and 9.</w:t>
      </w:r>
    </w:p>
    <w:p>
      <w:pPr>
        <w:numPr>
          <w:ilvl w:val="0"/>
          <w:numId w:val="1001"/>
        </w:numPr>
        <w:pStyle w:val="Compact"/>
      </w:pPr>
      <w:r>
        <w:t xml:space="preserve">The final balance of 15% (GHS 57,270.00) is due upon delivery of the final</w:t>
      </w:r>
      <w:r>
        <w:t xml:space="preserve"> </w:t>
      </w:r>
      <w:r>
        <w:t xml:space="preserve">Business Consultant</w:t>
      </w:r>
      <w:r>
        <w:t xml:space="preserve"> </w:t>
      </w:r>
      <w:r>
        <w:t xml:space="preserve">report and project closeout in Month 12.</w:t>
      </w:r>
    </w:p>
    <w:p>
      <w:pPr>
        <w:numPr>
          <w:ilvl w:val="0"/>
          <w:numId w:val="1001"/>
        </w:numPr>
        <w:pStyle w:val="Compact"/>
      </w:pPr>
      <w:r>
        <w:t xml:space="preserve">All payments shall be made via bank transfer to Strategic Vision Consulting Ltd., Ecobank Ghana, Account No. 0012-3456-7890, Accra Branch.</w:t>
      </w:r>
    </w:p>
    <w:p>
      <w:pPr>
        <w:numPr>
          <w:ilvl w:val="0"/>
          <w:numId w:val="1001"/>
        </w:numPr>
        <w:pStyle w:val="Compact"/>
      </w:pPr>
      <w:r>
        <w:t xml:space="preserve">Late payments shall attract a penalty of 2% per month on the outstanding balance, in accordance with Ghanaian commercial law.</w:t>
      </w:r>
    </w:p>
    <w:bookmarkEnd w:id="25"/>
    <w:bookmarkStart w:id="26" w:name="terms-and-conditions"/>
    <w:p>
      <w:pPr>
        <w:pStyle w:val="Heading2"/>
      </w:pPr>
      <w:r>
        <w:t xml:space="preserve">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the expiry date, rates may be revised to reflect current market conditions in</w:t>
      </w:r>
      <w:r>
        <w:t xml:space="preserve"> </w:t>
      </w:r>
      <w:r>
        <w:t xml:space="preserve">Ghana Accra</w:t>
      </w:r>
      <w:r>
        <w:t xml:space="preserve">.</w:t>
      </w:r>
    </w:p>
    <w:p>
      <w:pPr>
        <w:numPr>
          <w:ilvl w:val="0"/>
          <w:numId w:val="1002"/>
        </w:numPr>
        <w:pStyle w:val="Compact"/>
      </w:pPr>
      <w:r>
        <w:t xml:space="preserve">All services will be delivered by a dedicated</w:t>
      </w:r>
      <w:r>
        <w:t xml:space="preserve"> </w:t>
      </w:r>
      <w:r>
        <w:t xml:space="preserve">Business Consultant</w:t>
      </w:r>
      <w:r>
        <w:t xml:space="preserve"> </w:t>
      </w:r>
      <w:r>
        <w:t xml:space="preserve">team based in Accra, with a minimum of three (3) on-site working days per week at the client's premises.</w:t>
      </w:r>
    </w:p>
    <w:p>
      <w:pPr>
        <w:numPr>
          <w:ilvl w:val="0"/>
          <w:numId w:val="1002"/>
        </w:numPr>
        <w:pStyle w:val="Compact"/>
      </w:pPr>
      <w:r>
        <w:t xml:space="preserve">The client agrees to provide timely access to all relevant financial records, operational data, and personnel necessary for the</w:t>
      </w:r>
      <w:r>
        <w:t xml:space="preserve"> </w:t>
      </w:r>
      <w:r>
        <w:t xml:space="preserve">Business Consultant</w:t>
      </w:r>
      <w:r>
        <w:t xml:space="preserve"> </w:t>
      </w:r>
      <w:r>
        <w:t xml:space="preserve">to perform the engagement effectively.</w:t>
      </w:r>
    </w:p>
    <w:p>
      <w:pPr>
        <w:numPr>
          <w:ilvl w:val="0"/>
          <w:numId w:val="1002"/>
        </w:numPr>
        <w:pStyle w:val="Compact"/>
      </w:pPr>
      <w:r>
        <w:t xml:space="preserve">Confidentiality: All information shared during the engagement shall be treated as strictly confidential and protected under the Data Protection Act, 2012 (Act 843) of Ghana.</w:t>
      </w:r>
    </w:p>
    <w:p>
      <w:pPr>
        <w:numPr>
          <w:ilvl w:val="0"/>
          <w:numId w:val="1002"/>
        </w:numPr>
        <w:pStyle w:val="Compact"/>
      </w:pPr>
      <w:r>
        <w:t xml:space="preserve">Intellectual property generated specifically for the client during this engagement shall vest in the client upon full payment. Pre-existing methodologies and frameworks remain the property of Strategic Vision Consulting Ltd.</w:t>
      </w:r>
    </w:p>
    <w:p>
      <w:pPr>
        <w:numPr>
          <w:ilvl w:val="0"/>
          <w:numId w:val="1002"/>
        </w:numPr>
        <w:pStyle w:val="Compact"/>
      </w:pPr>
      <w:r>
        <w:t xml:space="preserve">Force Majeure: Neither party shall be liable for delays caused by events beyond reasonable control, including but not limited to natural disasters, government policy changes in Ghana, or public health emergencies affecting operations in</w:t>
      </w:r>
      <w:r>
        <w:t xml:space="preserve"> </w:t>
      </w:r>
      <w:r>
        <w:t xml:space="preserve">Ghana Accra</w:t>
      </w:r>
      <w:r>
        <w:t xml:space="preserve">.</w:t>
      </w:r>
    </w:p>
    <w:p>
      <w:pPr>
        <w:numPr>
          <w:ilvl w:val="0"/>
          <w:numId w:val="1002"/>
        </w:numPr>
        <w:pStyle w:val="Compact"/>
      </w:pPr>
      <w:r>
        <w:t xml:space="preserve">Disputes arising from this</w:t>
      </w:r>
      <w:r>
        <w:t xml:space="preserve"> </w:t>
      </w:r>
      <w:r>
        <w:t xml:space="preserve">Quotation Estimate</w:t>
      </w:r>
      <w:r>
        <w:t xml:space="preserve"> </w:t>
      </w:r>
      <w:r>
        <w:t xml:space="preserve">or the subsequent service agreement shall be resolved through mediation in Accra, Ghana, in accordance with the Mediation Act, 2010 (Act 799). If mediation fails, disputes shall be referred to the courts of competent jurisdiction in Ghana.</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both parties have executed the formal Service Agreement document.</w:t>
      </w:r>
    </w:p>
    <w:bookmarkEnd w:id="26"/>
    <w:bookmarkStart w:id="27" w:name="acceptance"/>
    <w:p>
      <w:pPr>
        <w:pStyle w:val="Heading2"/>
      </w:pPr>
      <w:r>
        <w:t xml:space="preserve">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scope, and pricing outlined herein for the</w:t>
      </w:r>
      <w:r>
        <w:t xml:space="preserve"> </w:t>
      </w:r>
      <w:r>
        <w:t xml:space="preserve">Business Consultant</w:t>
      </w:r>
      <w:r>
        <w:t xml:space="preserve"> </w:t>
      </w:r>
      <w:r>
        <w:t xml:space="preserve">services to be delivered in</w:t>
      </w:r>
      <w:r>
        <w:t xml:space="preserve"> </w:t>
      </w:r>
      <w:r>
        <w:t xml:space="preserve">Ghana Accra</w:t>
      </w:r>
      <w:r>
        <w:t xml:space="preserve">.</w:t>
      </w:r>
    </w:p>
    <w:p>
      <w:pPr>
        <w:pStyle w:val="BodyText"/>
      </w:pPr>
      <w:r>
        <w:rPr>
          <w:bCs/>
          <w:b/>
        </w:rPr>
        <w:t xml:space="preserve">For Strategic Vision Consulting Ltd.</w:t>
      </w:r>
      <w:r>
        <w:br/>
      </w:r>
      <w:r>
        <w:t xml:space="preserve">Name: Kwame Asante-Mensah</w:t>
      </w:r>
      <w:r>
        <w:br/>
      </w:r>
      <w:r>
        <w:t xml:space="preserve">Title: Lead Business Consultant</w:t>
      </w:r>
      <w:r>
        <w:br/>
      </w:r>
      <w:r>
        <w:t xml:space="preserve">Date: 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w:t>
      </w:r>
    </w:p>
    <w:p>
      <w:pPr>
        <w:pStyle w:val="BodyText"/>
      </w:pPr>
      <w:r>
        <w:t xml:space="preserve">Strategic Vision Consulting Ltd. | 12 Independence Avenue, Ridge, Accra, Ghana | RC: 20190123-4567</w:t>
      </w:r>
    </w:p>
    <w:p>
      <w:pPr>
        <w:pStyle w:val="BodyText"/>
      </w:pPr>
      <w:r>
        <w:t xml:space="preserve">This Quotation Estimate was prepared exclusively for the named client and may not be reproduced or distributed without written consent.</w:t>
      </w:r>
    </w:p>
    <w:p>
      <w:pPr>
        <w:pStyle w:val="BodyText"/>
      </w:pPr>
      <w:r>
        <w:t xml:space="preserve">Document Reference: SVC/QE/2025/00847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Business Consultant - Ghana Accra</dc:title>
  <dc:creator/>
  <dc:language>en</dc:language>
  <cp:keywords/>
  <dcterms:created xsi:type="dcterms:W3CDTF">2026-10-10T04:45:27Z</dcterms:created>
  <dcterms:modified xsi:type="dcterms:W3CDTF">2026-10-10T04:45:27Z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