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Business Consultant Services</w:t>
      </w:r>
    </w:p>
    <w:p>
      <w:pPr>
        <w:pStyle w:val="BodyText"/>
      </w:pPr>
      <w:r>
        <w:t xml:space="preserve">Indonesia Jakarta — Special Capital Region of Jakarta (DKI Jakarta)</w:t>
      </w:r>
    </w:p>
    <w:p>
      <w:pPr>
        <w:pStyle w:val="BodyText"/>
      </w:pPr>
      <w:r>
        <w:t xml:space="preserve">Document No: QTE-JKT-2025-0047</w:t>
      </w:r>
    </w:p>
    <w:bookmarkEnd w:id="20"/>
    <w:bookmarkStart w:id="21" w:name="prepared-by"/>
    <w:p>
      <w:pPr>
        <w:pStyle w:val="Heading3"/>
      </w:pPr>
      <w:r>
        <w:t xml:space="preserve">Prepared By</w:t>
      </w:r>
    </w:p>
    <w:p>
      <w:pPr>
        <w:pStyle w:val="FirstParagraph"/>
      </w:pPr>
      <w:r>
        <w:rPr>
          <w:bCs/>
          <w:b/>
        </w:rPr>
        <w:t xml:space="preserve">PT Nusantara Strategic Advisory</w:t>
      </w:r>
    </w:p>
    <w:p>
      <w:pPr>
        <w:pStyle w:val="BodyText"/>
      </w:pPr>
      <w:r>
        <w:t xml:space="preserve">Business Consultant Firm</w:t>
      </w:r>
    </w:p>
    <w:p>
      <w:pPr>
        <w:pStyle w:val="BodyText"/>
      </w:pPr>
      <w:r>
        <w:t xml:space="preserve">Jl. Jend. Sudirman Kav. 52-53, 21st Floor</w:t>
      </w:r>
    </w:p>
    <w:p>
      <w:pPr>
        <w:pStyle w:val="BodyText"/>
      </w:pPr>
      <w:r>
        <w:t xml:space="preserve">SCBD, Indonesia Jakarta 12190</w:t>
      </w:r>
    </w:p>
    <w:p>
      <w:pPr>
        <w:pStyle w:val="BodyText"/>
      </w:pPr>
      <w:r>
        <w:t xml:space="preserve">Tel: +62-21-5790-8800</w:t>
      </w:r>
    </w:p>
    <w:p>
      <w:pPr>
        <w:pStyle w:val="BodyText"/>
      </w:pPr>
      <w:r>
        <w:t xml:space="preserve">Email: proposals@nusantara-advisory.co.id</w:t>
      </w:r>
    </w:p>
    <w:p>
      <w:pPr>
        <w:pStyle w:val="BodyText"/>
      </w:pPr>
      <w:r>
        <w:t xml:space="preserve">NPWP: 01.234.567.8-011.000</w:t>
      </w:r>
    </w:p>
    <w:bookmarkEnd w:id="21"/>
    <w:bookmarkStart w:id="22" w:name="prepared-for"/>
    <w:p>
      <w:pPr>
        <w:pStyle w:val="Heading3"/>
      </w:pPr>
      <w:r>
        <w:t xml:space="preserve">Prepared For</w:t>
      </w:r>
    </w:p>
    <w:p>
      <w:pPr>
        <w:pStyle w:val="FirstParagraph"/>
      </w:pPr>
      <w:r>
        <w:rPr>
          <w:bCs/>
          <w:b/>
        </w:rPr>
        <w:t xml:space="preserve">PT Maju Sejahtera Industries</w:t>
      </w:r>
    </w:p>
    <w:p>
      <w:pPr>
        <w:pStyle w:val="BodyText"/>
      </w:pPr>
      <w:r>
        <w:t xml:space="preserve">Attn: Mr. Budi Santoso, Director</w:t>
      </w:r>
    </w:p>
    <w:p>
      <w:pPr>
        <w:pStyle w:val="BodyText"/>
      </w:pPr>
      <w:r>
        <w:t xml:space="preserve">Jl. Gatot Subroto Kav. 28</w:t>
      </w:r>
    </w:p>
    <w:p>
      <w:pPr>
        <w:pStyle w:val="BodyText"/>
      </w:pPr>
      <w:r>
        <w:t xml:space="preserve">Indonesia Jakarta 12950</w:t>
      </w:r>
    </w:p>
    <w:p>
      <w:pPr>
        <w:pStyle w:val="BodyText"/>
      </w:pPr>
      <w:r>
        <w:t xml:space="preserve">Tel: +62-21-750-4422</w:t>
      </w:r>
    </w:p>
    <w:p>
      <w:pPr>
        <w:pStyle w:val="BodyText"/>
      </w:pPr>
      <w:r>
        <w:t xml:space="preserve">Email: b.santoso@majusejahtera.co.id</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Quotation Valid Until:</w:t>
      </w:r>
      <w:r>
        <w:t xml:space="preserve"> </w:t>
      </w:r>
      <w:r>
        <w:t xml:space="preserve">15 July 2025</w:t>
      </w:r>
    </w:p>
    <w:p>
      <w:pPr>
        <w:pStyle w:val="BodyText"/>
      </w:pPr>
      <w:r>
        <w:rPr>
          <w:bCs/>
          <w:b/>
        </w:rPr>
        <w:t xml:space="preserve">Project Duration:</w:t>
      </w:r>
      <w:r>
        <w:t xml:space="preserve"> </w:t>
      </w:r>
      <w:r>
        <w:t xml:space="preserve">6 Months</w:t>
      </w:r>
    </w:p>
    <w:p>
      <w:pPr>
        <w:pStyle w:val="BodyText"/>
      </w:pPr>
      <w:r>
        <w:rPr>
          <w:bCs/>
          <w:b/>
        </w:rPr>
        <w:t xml:space="preserve">Currency:</w:t>
      </w:r>
      <w:r>
        <w:t xml:space="preserve"> </w:t>
      </w:r>
      <w:r>
        <w:t xml:space="preserve">Indonesian Rupiah (IDR)</w:t>
      </w:r>
    </w:p>
    <w:bookmarkEnd w:id="23"/>
    <w:bookmarkStart w:id="24" w:name="reference"/>
    <w:p>
      <w:pPr>
        <w:pStyle w:val="Heading3"/>
      </w:pPr>
      <w:r>
        <w:t xml:space="preserve">Reference</w:t>
      </w:r>
    </w:p>
    <w:p>
      <w:pPr>
        <w:pStyle w:val="FirstParagraph"/>
      </w:pPr>
      <w:r>
        <w:rPr>
          <w:bCs/>
          <w:b/>
        </w:rPr>
        <w:t xml:space="preserve">Subject:</w:t>
      </w:r>
      <w:r>
        <w:t xml:space="preserve"> </w:t>
      </w:r>
      <w:r>
        <w:t xml:space="preserve">Business Consultant Engagement for Operational Restructuring and Market Expansion Strategy</w:t>
      </w:r>
    </w:p>
    <w:p>
      <w:pPr>
        <w:pStyle w:val="BodyText"/>
      </w:pPr>
      <w:r>
        <w:rPr>
          <w:bCs/>
          <w:b/>
        </w:rPr>
        <w:t xml:space="preserve">Location of Service:</w:t>
      </w:r>
      <w:r>
        <w:t xml:space="preserve"> </w:t>
      </w:r>
      <w:r>
        <w:t xml:space="preserve">Indonesia Jakarta</w:t>
      </w:r>
    </w:p>
    <w:p>
      <w:pPr>
        <w:pStyle w:val="BodyText"/>
      </w:pPr>
      <w:r>
        <w:rPr>
          <w:bCs/>
          <w:b/>
        </w:rPr>
        <w:t xml:space="preserve">Engagement Type:</w:t>
      </w:r>
      <w:r>
        <w:t xml:space="preserve"> </w:t>
      </w:r>
      <w:r>
        <w:t xml:space="preserve">Full-Scope Advisory</w:t>
      </w:r>
    </w:p>
    <w:bookmarkEnd w:id="24"/>
    <w:bookmarkStart w:id="25"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PT Nusantara Strategic Advisory, a premier</w:t>
      </w:r>
      <w:r>
        <w:t xml:space="preserve"> </w:t>
      </w:r>
      <w:r>
        <w:t xml:space="preserve">Business Consultant</w:t>
      </w:r>
      <w:r>
        <w:t xml:space="preserve"> </w:t>
      </w:r>
      <w:r>
        <w:t xml:space="preserve">firm headquartered in</w:t>
      </w:r>
      <w:r>
        <w:t xml:space="preserve"> </w:t>
      </w:r>
      <w:r>
        <w:t xml:space="preserve">Indonesia Jakarta</w:t>
      </w:r>
      <w:r>
        <w:t xml:space="preserve">, in response to the request for professional advisory services submitted by PT Maju Sejahtera Industries. This document outlines the comprehensive scope of work, deliverables, timeline, and associated costs for the proposed Business Consultant engagement. All services will be delivered primarily from our office located in the South Jakarta business district, with on-site visits to the client's facilities throughout the Indonesia Jakarta metropolitan area as required by the project scope.</w:t>
      </w:r>
    </w:p>
    <w:bookmarkEnd w:id="25"/>
    <w:bookmarkStart w:id="26" w:name="scope-of-services"/>
    <w:p>
      <w:pPr>
        <w:pStyle w:val="Heading2"/>
      </w:pPr>
      <w:r>
        <w:t xml:space="preserve">2. Scope of Services</w:t>
      </w:r>
    </w:p>
    <w:p>
      <w:pPr>
        <w:pStyle w:val="FirstParagraph"/>
      </w:pPr>
      <w:r>
        <w:t xml:space="preserve">As a dedicated Business Consultant operating in Indonesia Jakarta, our team will provide the following services to PT Maju Sejahtera Industries:</w:t>
      </w:r>
    </w:p>
    <w:p>
      <w:pPr>
        <w:numPr>
          <w:ilvl w:val="0"/>
          <w:numId w:val="1001"/>
        </w:numPr>
        <w:pStyle w:val="Compact"/>
      </w:pPr>
      <w:r>
        <w:rPr>
          <w:bCs/>
          <w:b/>
        </w:rPr>
        <w:t xml:space="preserve">Operational Audit &amp; Process Optimization:</w:t>
      </w:r>
      <w:r>
        <w:t xml:space="preserve"> </w:t>
      </w:r>
      <w:r>
        <w:t xml:space="preserve">A thorough assessment of current operational workflows, supply chain management, and internal control systems across all Indonesia Jakarta-based facilities.</w:t>
      </w:r>
    </w:p>
    <w:p>
      <w:pPr>
        <w:numPr>
          <w:ilvl w:val="0"/>
          <w:numId w:val="1001"/>
        </w:numPr>
        <w:pStyle w:val="Compact"/>
      </w:pPr>
      <w:r>
        <w:rPr>
          <w:bCs/>
          <w:b/>
        </w:rPr>
        <w:t xml:space="preserve">Market Expansion Strategy:</w:t>
      </w:r>
      <w:r>
        <w:t xml:space="preserve"> </w:t>
      </w:r>
      <w:r>
        <w:t xml:space="preserve">Development of a data-driven market entry and expansion plan targeting the Greater Indonesia Jakarta region and surrounding provinces, including competitive analysis and consumer behavior studies.</w:t>
      </w:r>
    </w:p>
    <w:p>
      <w:pPr>
        <w:numPr>
          <w:ilvl w:val="0"/>
          <w:numId w:val="1001"/>
        </w:numPr>
        <w:pStyle w:val="Compact"/>
      </w:pPr>
      <w:r>
        <w:rPr>
          <w:bCs/>
          <w:b/>
        </w:rPr>
        <w:t xml:space="preserve">Financial Restructuring Advisory:</w:t>
      </w:r>
      <w:r>
        <w:t xml:space="preserve"> </w:t>
      </w:r>
      <w:r>
        <w:t xml:space="preserve">Review of capital structure, cost optimization recommendations, and cash flow forecasting aligned with Indonesian regulatory frameworks (OJK and BPS guidelines).</w:t>
      </w:r>
    </w:p>
    <w:p>
      <w:pPr>
        <w:numPr>
          <w:ilvl w:val="0"/>
          <w:numId w:val="1001"/>
        </w:numPr>
        <w:pStyle w:val="Compact"/>
      </w:pPr>
      <w:r>
        <w:rPr>
          <w:bCs/>
          <w:b/>
        </w:rPr>
        <w:t xml:space="preserve">Organizational Design &amp; Change Management:</w:t>
      </w:r>
      <w:r>
        <w:t xml:space="preserve"> </w:t>
      </w:r>
      <w:r>
        <w:t xml:space="preserve">Restructuring of the organizational hierarchy, role definitions, and implementation of a change management program to support strategic transformation.</w:t>
      </w:r>
    </w:p>
    <w:p>
      <w:pPr>
        <w:numPr>
          <w:ilvl w:val="0"/>
          <w:numId w:val="1001"/>
        </w:numPr>
        <w:pStyle w:val="Compact"/>
      </w:pPr>
      <w:r>
        <w:rPr>
          <w:bCs/>
          <w:b/>
        </w:rPr>
        <w:t xml:space="preserve">Technology &amp; Digital Transformation Roadmap:</w:t>
      </w:r>
      <w:r>
        <w:t xml:space="preserve"> </w:t>
      </w:r>
      <w:r>
        <w:t xml:space="preserve">Assessment of current IT infrastructure and development of a phased digital adoption plan suitable for the Indonesia Jakarta business ecosystem.</w:t>
      </w:r>
    </w:p>
    <w:p>
      <w:pPr>
        <w:numPr>
          <w:ilvl w:val="0"/>
          <w:numId w:val="1001"/>
        </w:numPr>
        <w:pStyle w:val="Compact"/>
      </w:pPr>
      <w:r>
        <w:rPr>
          <w:bCs/>
          <w:b/>
        </w:rPr>
        <w:t xml:space="preserve">Regulatory Compliance Review:</w:t>
      </w:r>
      <w:r>
        <w:t xml:space="preserve"> </w:t>
      </w:r>
      <w:r>
        <w:t xml:space="preserve">Ensuring full compliance with Indonesian corporate law, tax regulations, and industry-specific licensing requirements applicable in Indonesia Jakarta.</w:t>
      </w:r>
    </w:p>
    <w:bookmarkEnd w:id="26"/>
    <w:bookmarkStart w:id="27" w:name="project-timeline"/>
    <w:p>
      <w:pPr>
        <w:pStyle w:val="Heading2"/>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Phase 1</w:t>
            </w:r>
          </w:p>
        </w:tc>
        <w:tc>
          <w:tcPr/>
          <w:p>
            <w:pPr>
              <w:pStyle w:val="Compact"/>
              <w:jc w:val="left"/>
            </w:pPr>
            <w:r>
              <w:t xml:space="preserve">Discovery &amp; Diagnostic Assessment</w:t>
            </w:r>
          </w:p>
        </w:tc>
        <w:tc>
          <w:tcPr/>
          <w:p>
            <w:pPr>
              <w:pStyle w:val="Compact"/>
              <w:jc w:val="left"/>
            </w:pPr>
            <w:r>
              <w:t xml:space="preserve">Weeks 1–4</w:t>
            </w:r>
          </w:p>
        </w:tc>
        <w:tc>
          <w:tcPr/>
          <w:p>
            <w:pPr>
              <w:pStyle w:val="Compact"/>
              <w:jc w:val="left"/>
            </w:pPr>
            <w:r>
              <w:t xml:space="preserve">Diagnostic Report &amp; Findings</w:t>
            </w:r>
          </w:p>
        </w:tc>
      </w:tr>
      <w:tr>
        <w:tc>
          <w:tcPr/>
          <w:p>
            <w:pPr>
              <w:pStyle w:val="Compact"/>
              <w:jc w:val="left"/>
            </w:pPr>
            <w:r>
              <w:t xml:space="preserve">Phase 2</w:t>
            </w:r>
          </w:p>
        </w:tc>
        <w:tc>
          <w:tcPr/>
          <w:p>
            <w:pPr>
              <w:pStyle w:val="Compact"/>
              <w:jc w:val="left"/>
            </w:pPr>
            <w:r>
              <w:t xml:space="preserve">Strategy Development &amp; Design</w:t>
            </w:r>
          </w:p>
        </w:tc>
        <w:tc>
          <w:tcPr/>
          <w:p>
            <w:pPr>
              <w:pStyle w:val="Compact"/>
              <w:jc w:val="left"/>
            </w:pPr>
            <w:r>
              <w:t xml:space="preserve">Weeks 5–10</w:t>
            </w:r>
          </w:p>
        </w:tc>
        <w:tc>
          <w:tcPr/>
          <w:p>
            <w:pPr>
              <w:pStyle w:val="Compact"/>
              <w:jc w:val="left"/>
            </w:pPr>
            <w:r>
              <w:t xml:space="preserve">Strategic Roadmap &amp; Business Plan</w:t>
            </w:r>
          </w:p>
        </w:tc>
      </w:tr>
      <w:tr>
        <w:tc>
          <w:tcPr/>
          <w:p>
            <w:pPr>
              <w:pStyle w:val="Compact"/>
              <w:jc w:val="left"/>
            </w:pPr>
            <w:r>
              <w:t xml:space="preserve">Phase 3</w:t>
            </w:r>
          </w:p>
        </w:tc>
        <w:tc>
          <w:tcPr/>
          <w:p>
            <w:pPr>
              <w:pStyle w:val="Compact"/>
              <w:jc w:val="left"/>
            </w:pPr>
            <w:r>
              <w:t xml:space="preserve">Implementation Support &amp; Training</w:t>
            </w:r>
          </w:p>
        </w:tc>
        <w:tc>
          <w:tcPr/>
          <w:p>
            <w:pPr>
              <w:pStyle w:val="Compact"/>
              <w:jc w:val="left"/>
            </w:pPr>
            <w:r>
              <w:t xml:space="preserve">Weeks 11–18</w:t>
            </w:r>
          </w:p>
        </w:tc>
        <w:tc>
          <w:tcPr/>
          <w:p>
            <w:pPr>
              <w:pStyle w:val="Compact"/>
              <w:jc w:val="left"/>
            </w:pPr>
            <w:r>
              <w:t xml:space="preserve">Implementation Playbook &amp; Training Materials</w:t>
            </w:r>
          </w:p>
        </w:tc>
      </w:tr>
      <w:tr>
        <w:tc>
          <w:tcPr/>
          <w:p>
            <w:pPr>
              <w:pStyle w:val="Compact"/>
              <w:jc w:val="left"/>
            </w:pPr>
            <w:r>
              <w:t xml:space="preserve">Phase 4</w:t>
            </w:r>
          </w:p>
        </w:tc>
        <w:tc>
          <w:tcPr/>
          <w:p>
            <w:pPr>
              <w:pStyle w:val="Compact"/>
              <w:jc w:val="left"/>
            </w:pPr>
            <w:r>
              <w:t xml:space="preserve">Monitoring, Evaluation &amp; Handover</w:t>
            </w:r>
          </w:p>
        </w:tc>
        <w:tc>
          <w:tcPr/>
          <w:p>
            <w:pPr>
              <w:pStyle w:val="Compact"/>
              <w:jc w:val="left"/>
            </w:pPr>
            <w:r>
              <w:t xml:space="preserve">Weeks 19–24</w:t>
            </w:r>
          </w:p>
        </w:tc>
        <w:tc>
          <w:tcPr/>
          <w:p>
            <w:pPr>
              <w:pStyle w:val="Compact"/>
              <w:jc w:val="left"/>
            </w:pPr>
            <w:r>
              <w:t xml:space="preserve">Final Report &amp; KPI Dashboard</w:t>
            </w:r>
          </w:p>
        </w:tc>
      </w:tr>
    </w:tbl>
    <w:bookmarkEnd w:id="27"/>
    <w:bookmarkStart w:id="28" w:name="quotation-estimate-fee-breakdown"/>
    <w:p>
      <w:pPr>
        <w:pStyle w:val="Heading2"/>
      </w:pPr>
      <w:r>
        <w:t xml:space="preserve">4. Quotation Estimate — Fee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Senior Business Consultant (Lead Advisor)</w:t>
            </w:r>
          </w:p>
        </w:tc>
        <w:tc>
          <w:tcPr/>
          <w:p>
            <w:pPr>
              <w:pStyle w:val="Compact"/>
              <w:jc w:val="left"/>
            </w:pPr>
            <w:r>
              <w:t xml:space="preserve">240 hrs</w:t>
            </w:r>
          </w:p>
        </w:tc>
        <w:tc>
          <w:tcPr/>
          <w:p>
            <w:pPr>
              <w:pStyle w:val="Compact"/>
              <w:jc w:val="left"/>
            </w:pPr>
            <w:r>
              <w:t xml:space="preserve">3,500,000</w:t>
            </w:r>
          </w:p>
        </w:tc>
        <w:tc>
          <w:tcPr/>
          <w:p>
            <w:pPr>
              <w:pStyle w:val="Compact"/>
              <w:jc w:val="left"/>
            </w:pPr>
            <w:r>
              <w:t xml:space="preserve">840,000,000</w:t>
            </w:r>
          </w:p>
        </w:tc>
      </w:tr>
      <w:tr>
        <w:tc>
          <w:tcPr/>
          <w:p>
            <w:pPr>
              <w:pStyle w:val="Compact"/>
              <w:jc w:val="left"/>
            </w:pPr>
            <w:r>
              <w:t xml:space="preserve">2</w:t>
            </w:r>
          </w:p>
        </w:tc>
        <w:tc>
          <w:tcPr/>
          <w:p>
            <w:pPr>
              <w:pStyle w:val="Compact"/>
              <w:jc w:val="left"/>
            </w:pPr>
            <w:r>
              <w:t xml:space="preserve">Associate Consultants (x3)</w:t>
            </w:r>
          </w:p>
        </w:tc>
        <w:tc>
          <w:tcPr/>
          <w:p>
            <w:pPr>
              <w:pStyle w:val="Compact"/>
              <w:jc w:val="left"/>
            </w:pPr>
            <w:r>
              <w:t xml:space="preserve">720 hrs</w:t>
            </w:r>
          </w:p>
        </w:tc>
        <w:tc>
          <w:tcPr/>
          <w:p>
            <w:pPr>
              <w:pStyle w:val="Compact"/>
              <w:jc w:val="left"/>
            </w:pPr>
            <w:r>
              <w:t xml:space="preserve">1,800,000</w:t>
            </w:r>
          </w:p>
        </w:tc>
        <w:tc>
          <w:tcPr/>
          <w:p>
            <w:pPr>
              <w:pStyle w:val="Compact"/>
              <w:jc w:val="left"/>
            </w:pPr>
            <w:r>
              <w:t xml:space="preserve">1,296,000,000</w:t>
            </w:r>
          </w:p>
        </w:tc>
      </w:tr>
      <w:tr>
        <w:tc>
          <w:tcPr/>
          <w:p>
            <w:pPr>
              <w:pStyle w:val="Compact"/>
              <w:jc w:val="left"/>
            </w:pPr>
            <w:r>
              <w:t xml:space="preserve">3</w:t>
            </w:r>
          </w:p>
        </w:tc>
        <w:tc>
          <w:tcPr/>
          <w:p>
            <w:pPr>
              <w:pStyle w:val="Compact"/>
              <w:jc w:val="left"/>
            </w:pPr>
            <w:r>
              <w:t xml:space="preserve">Market Research &amp; Data Analytics (Indonesia Jakarta)</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275,000,000</w:t>
            </w:r>
          </w:p>
        </w:tc>
      </w:tr>
      <w:tr>
        <w:tc>
          <w:tcPr/>
          <w:p>
            <w:pPr>
              <w:pStyle w:val="Compact"/>
              <w:jc w:val="left"/>
            </w:pPr>
            <w:r>
              <w:t xml:space="preserve">4</w:t>
            </w:r>
          </w:p>
        </w:tc>
        <w:tc>
          <w:tcPr/>
          <w:p>
            <w:pPr>
              <w:pStyle w:val="Compact"/>
              <w:jc w:val="left"/>
            </w:pPr>
            <w:r>
              <w:t xml:space="preserve">Workshop Facilitation &amp; Stakeholder Sessions</w:t>
            </w:r>
          </w:p>
        </w:tc>
        <w:tc>
          <w:tcPr/>
          <w:p>
            <w:pPr>
              <w:pStyle w:val="Compact"/>
              <w:jc w:val="left"/>
            </w:pPr>
            <w:r>
              <w:t xml:space="preserve">8 sessions</w:t>
            </w:r>
          </w:p>
        </w:tc>
        <w:tc>
          <w:tcPr/>
          <w:p>
            <w:pPr>
              <w:pStyle w:val="Compact"/>
              <w:jc w:val="left"/>
            </w:pPr>
            <w:r>
              <w:t xml:space="preserve">15,000,000</w:t>
            </w:r>
          </w:p>
        </w:tc>
        <w:tc>
          <w:tcPr/>
          <w:p>
            <w:pPr>
              <w:pStyle w:val="Compact"/>
              <w:jc w:val="left"/>
            </w:pPr>
            <w:r>
              <w:t xml:space="preserve">120,000,000</w:t>
            </w:r>
          </w:p>
        </w:tc>
      </w:tr>
      <w:tr>
        <w:tc>
          <w:tcPr/>
          <w:p>
            <w:pPr>
              <w:pStyle w:val="Compact"/>
              <w:jc w:val="left"/>
            </w:pPr>
            <w:r>
              <w:t xml:space="preserve">5</w:t>
            </w:r>
          </w:p>
        </w:tc>
        <w:tc>
          <w:tcPr/>
          <w:p>
            <w:pPr>
              <w:pStyle w:val="Compact"/>
              <w:jc w:val="left"/>
            </w:pPr>
            <w:r>
              <w:t xml:space="preserve">Travel &amp; Local Transportation within Indonesia Jakarta</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45,000,000</w:t>
            </w:r>
          </w:p>
        </w:tc>
      </w:tr>
      <w:tr>
        <w:tc>
          <w:tcPr/>
          <w:p>
            <w:pPr>
              <w:pStyle w:val="Compact"/>
              <w:jc w:val="left"/>
            </w:pPr>
            <w:r>
              <w:t xml:space="preserve">6</w:t>
            </w:r>
          </w:p>
        </w:tc>
        <w:tc>
          <w:tcPr/>
          <w:p>
            <w:pPr>
              <w:pStyle w:val="Compact"/>
              <w:jc w:val="left"/>
            </w:pPr>
            <w:r>
              <w:t xml:space="preserve">Report Production, Translation &amp; Documentation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60,000,000</w:t>
            </w:r>
          </w:p>
        </w:tc>
      </w:tr>
      <w:tr>
        <w:tc>
          <w:tcPr>
            <w:gridSpan w:val="4"/>
          </w:tcPr>
          <w:p>
            <w:pPr>
              <w:pStyle w:val="Compact"/>
              <w:jc w:val="right"/>
            </w:pPr>
            <w:r>
              <w:t xml:space="preserve">Subtotal</w:t>
            </w:r>
          </w:p>
        </w:tc>
        <w:tc>
          <w:tcPr/>
          <w:p>
            <w:pPr>
              <w:pStyle w:val="Compact"/>
              <w:jc w:val="left"/>
            </w:pPr>
            <w:r>
              <w:t xml:space="preserve">2,636,000,000</w:t>
            </w:r>
          </w:p>
        </w:tc>
      </w:tr>
      <w:tr>
        <w:tc>
          <w:tcPr>
            <w:gridSpan w:val="4"/>
          </w:tcPr>
          <w:p>
            <w:pPr>
              <w:pStyle w:val="Compact"/>
              <w:jc w:val="right"/>
            </w:pPr>
            <w:r>
              <w:t xml:space="preserve">VAT (PPN) 11%</w:t>
            </w:r>
          </w:p>
        </w:tc>
        <w:tc>
          <w:tcPr/>
          <w:p>
            <w:pPr>
              <w:pStyle w:val="Compact"/>
              <w:jc w:val="left"/>
            </w:pPr>
            <w:r>
              <w:t xml:space="preserve">289,960,000</w:t>
            </w:r>
          </w:p>
        </w:tc>
      </w:tr>
      <w:tr>
        <w:tc>
          <w:tcPr>
            <w:gridSpan w:val="4"/>
          </w:tcPr>
          <w:p>
            <w:pPr>
              <w:pStyle w:val="Compact"/>
              <w:jc w:val="right"/>
            </w:pPr>
            <w:r>
              <w:t xml:space="preserve">TOTAL QUOTATION ESTIMATE</w:t>
            </w:r>
          </w:p>
        </w:tc>
        <w:tc>
          <w:tcPr/>
          <w:p>
            <w:pPr>
              <w:pStyle w:val="Compact"/>
              <w:jc w:val="left"/>
            </w:pPr>
            <w:r>
              <w:t xml:space="preserve">2,925,960,000</w:t>
            </w:r>
          </w:p>
        </w:tc>
      </w:tr>
    </w:tbl>
    <w:p>
      <w:pPr>
        <w:pStyle w:val="BodyText"/>
      </w:pPr>
      <w:r>
        <w:rPr>
          <w:iCs/>
          <w:i/>
        </w:rPr>
        <w:t xml:space="preserve">All amounts are stated in Indonesian Rupiah (IDR). The total Quotation Estimate of IDR 2,925,960,000 (Two Billion Nine Hundred Twenty-Five Million Nine Hundred Sixty Thousand Rupiah) is inclusive of 11% Value Added Tax (Pajak Pertambahan Nilai) as mandated by the Republic of Indonesia tax authority.</w:t>
      </w:r>
    </w:p>
    <w:bookmarkEnd w:id="28"/>
    <w:bookmarkStart w:id="29" w:name="payment-terms"/>
    <w:p>
      <w:pPr>
        <w:pStyle w:val="Heading2"/>
      </w:pPr>
      <w:r>
        <w:t xml:space="preserve">5. Payment Terms</w:t>
      </w:r>
    </w:p>
    <w:p>
      <w:pPr>
        <w:numPr>
          <w:ilvl w:val="0"/>
          <w:numId w:val="1002"/>
        </w:numPr>
        <w:pStyle w:val="Compact"/>
      </w:pPr>
      <w:r>
        <w:rPr>
          <w:bCs/>
          <w:b/>
        </w:rPr>
        <w:t xml:space="preserve">30%</w:t>
      </w:r>
      <w:r>
        <w:t xml:space="preserve"> </w:t>
      </w:r>
      <w:r>
        <w:t xml:space="preserve">advance payment upon signing of the Service Agreement: IDR 877,788,000</w:t>
      </w:r>
    </w:p>
    <w:p>
      <w:pPr>
        <w:numPr>
          <w:ilvl w:val="0"/>
          <w:numId w:val="1002"/>
        </w:numPr>
        <w:pStyle w:val="Compact"/>
      </w:pPr>
      <w:r>
        <w:rPr>
          <w:bCs/>
          <w:b/>
        </w:rPr>
        <w:t xml:space="preserve">25%</w:t>
      </w:r>
      <w:r>
        <w:t xml:space="preserve"> </w:t>
      </w:r>
      <w:r>
        <w:t xml:space="preserve">upon completion of Phase 2 (Strategic Roadmap delivery): IDR 731,490,000</w:t>
      </w:r>
    </w:p>
    <w:p>
      <w:pPr>
        <w:numPr>
          <w:ilvl w:val="0"/>
          <w:numId w:val="1002"/>
        </w:numPr>
        <w:pStyle w:val="Compact"/>
      </w:pPr>
      <w:r>
        <w:rPr>
          <w:bCs/>
          <w:b/>
        </w:rPr>
        <w:t xml:space="preserve">25%</w:t>
      </w:r>
      <w:r>
        <w:t xml:space="preserve"> </w:t>
      </w:r>
      <w:r>
        <w:t xml:space="preserve">upon completion of Phase 3 (Implementation Support): IDR 731,490,000</w:t>
      </w:r>
    </w:p>
    <w:p>
      <w:pPr>
        <w:numPr>
          <w:ilvl w:val="0"/>
          <w:numId w:val="1002"/>
        </w:numPr>
        <w:pStyle w:val="Compact"/>
      </w:pPr>
      <w:r>
        <w:rPr>
          <w:bCs/>
          <w:b/>
        </w:rPr>
        <w:t xml:space="preserve">20%</w:t>
      </w:r>
      <w:r>
        <w:t xml:space="preserve"> </w:t>
      </w:r>
      <w:r>
        <w:t xml:space="preserve">upon final handover and acceptance of all deliverables: IDR 585,192,000</w:t>
      </w:r>
    </w:p>
    <w:p>
      <w:pPr>
        <w:pStyle w:val="FirstParagraph"/>
      </w:pPr>
      <w:r>
        <w:t xml:space="preserve">Payments shall be made via bank transfer to the account of PT Nusantara Strategic Advisory, Bank Mandiri, Indonesia Jakarta branch, within fourteen (14) calendar days of invoice issuance. Late payments shall incur a penalty of 2% per month as per Indonesian commercial law.</w:t>
      </w:r>
    </w:p>
    <w:bookmarkEnd w:id="29"/>
    <w:bookmarkStart w:id="30" w:name="terms-and-conditions"/>
    <w:p>
      <w:pPr>
        <w:pStyle w:val="Heading2"/>
      </w:pPr>
      <w:r>
        <w:t xml:space="preserve">6. Terms and Conditions</w:t>
      </w:r>
    </w:p>
    <w:p>
      <w:pPr>
        <w:numPr>
          <w:ilvl w:val="0"/>
          <w:numId w:val="1003"/>
        </w:numPr>
        <w:pStyle w:val="Compact"/>
      </w:pPr>
      <w:r>
        <w:t xml:space="preserve">This Quotation Estimate is valid for thirty (30) days from the date of issue. Beyond this period, fees may be subject to revision based on market conditions in Indonesia Jakarta.</w:t>
      </w:r>
    </w:p>
    <w:p>
      <w:pPr>
        <w:numPr>
          <w:ilvl w:val="0"/>
          <w:numId w:val="1003"/>
        </w:numPr>
        <w:pStyle w:val="Compact"/>
      </w:pPr>
      <w:r>
        <w:t xml:space="preserve">All intellectual property rights in deliverables shall transfer to the client upon full payment of the total Quotation Estimate amount.</w:t>
      </w:r>
    </w:p>
    <w:p>
      <w:pPr>
        <w:numPr>
          <w:ilvl w:val="0"/>
          <w:numId w:val="1003"/>
        </w:numPr>
        <w:pStyle w:val="Compact"/>
      </w:pPr>
      <w:r>
        <w:t xml:space="preserve">The Business Consultant team shall maintain strict confidentiality of all client data, trade secrets, and proprietary information in accordance with Indonesian Law No. 27 of 2022 on Data Protection.</w:t>
      </w:r>
    </w:p>
    <w:p>
      <w:pPr>
        <w:numPr>
          <w:ilvl w:val="0"/>
          <w:numId w:val="1003"/>
        </w:numPr>
        <w:pStyle w:val="Compact"/>
      </w:pPr>
      <w:r>
        <w:t xml:space="preserve">Any scope changes or additional services beyond the defined Quotation Estimate shall be subject to a written change order and supplementary fee agreement.</w:t>
      </w:r>
    </w:p>
    <w:p>
      <w:pPr>
        <w:numPr>
          <w:ilvl w:val="0"/>
          <w:numId w:val="1003"/>
        </w:numPr>
        <w:pStyle w:val="Compact"/>
      </w:pPr>
      <w:r>
        <w:t xml:space="preserve">This engagement is governed by the laws of the Republic of Indonesia. Any disputes shall be resolved through arbitration at the Indonesian National Board of Arbitration (BANI) in Indonesia Jakarta.</w:t>
      </w:r>
    </w:p>
    <w:p>
      <w:pPr>
        <w:numPr>
          <w:ilvl w:val="0"/>
          <w:numId w:val="1003"/>
        </w:numPr>
        <w:pStyle w:val="Compact"/>
      </w:pPr>
      <w:r>
        <w:t xml:space="preserve">The Business Consultant firm reserves the right to assign qualified personnel to the project, provided that the lead Senior Business Consultant remains the primary point of contact throughout the engagement.</w:t>
      </w:r>
    </w:p>
    <w:bookmarkEnd w:id="30"/>
    <w:bookmarkStart w:id="31" w:name="acceptance-and-authorization"/>
    <w:p>
      <w:pPr>
        <w:pStyle w:val="Heading2"/>
      </w:pPr>
      <w:r>
        <w:t xml:space="preserve">7. Acceptance and Authorization</w:t>
      </w:r>
    </w:p>
    <w:p>
      <w:pPr>
        <w:pStyle w:val="FirstParagraph"/>
      </w:pPr>
      <w:r>
        <w:t xml:space="preserve">By signing below, both parties acknowledge and agree to the terms, scope, and fees outlined in this Quotation Estimate for the Business Consultant services to be rendered in Indonesia Jakarta.</w:t>
      </w:r>
    </w:p>
    <w:p>
      <w:pPr>
        <w:pStyle w:val="BodyText"/>
      </w:pPr>
      <w:r>
        <w:rPr>
          <w:bCs/>
          <w:b/>
        </w:rPr>
        <w:t xml:space="preserve">For and on behalf of</w:t>
      </w:r>
    </w:p>
    <w:p>
      <w:pPr>
        <w:pStyle w:val="BodyText"/>
      </w:pPr>
      <w:r>
        <w:rPr>
          <w:bCs/>
          <w:b/>
        </w:rPr>
        <w:t xml:space="preserve">PT Nusantara Strategic Advisory</w:t>
      </w:r>
    </w:p>
    <w:p>
      <w:pPr>
        <w:pStyle w:val="BodyText"/>
      </w:pPr>
      <w:r>
        <w:t xml:space="preserve">(Business Consultant)</w:t>
      </w:r>
    </w:p>
    <w:p>
      <w:pPr>
        <w:pStyle w:val="BodyText"/>
      </w:pPr>
      <w:r>
        <w:t xml:space="preserve">Name: Dr. Andi Wijaya, M.B.A.</w:t>
      </w:r>
    </w:p>
    <w:p>
      <w:pPr>
        <w:pStyle w:val="BodyText"/>
      </w:pPr>
      <w:r>
        <w:t xml:space="preserve">Title: Managing Director</w:t>
      </w:r>
    </w:p>
    <w:p>
      <w:pPr>
        <w:pStyle w:val="BodyText"/>
      </w:pPr>
      <w:r>
        <w:t xml:space="preserve">Date: _______________</w:t>
      </w:r>
    </w:p>
    <w:p>
      <w:pPr>
        <w:pStyle w:val="BodyText"/>
      </w:pPr>
      <w:r>
        <w:rPr>
          <w:bCs/>
          <w:b/>
        </w:rPr>
        <w:t xml:space="preserve">For and on behalf of</w:t>
      </w:r>
    </w:p>
    <w:p>
      <w:pPr>
        <w:pStyle w:val="BodyText"/>
      </w:pPr>
      <w:r>
        <w:rPr>
          <w:bCs/>
          <w:b/>
        </w:rPr>
        <w:t xml:space="preserve">PT Maju Sejahtera Industries</w:t>
      </w:r>
    </w:p>
    <w:p>
      <w:pPr>
        <w:pStyle w:val="BodyText"/>
      </w:pPr>
      <w:r>
        <w:t xml:space="preserve">(Client)</w:t>
      </w:r>
    </w:p>
    <w:p>
      <w:pPr>
        <w:pStyle w:val="BodyText"/>
      </w:pPr>
      <w:r>
        <w:t xml:space="preserve">Name: Mr. Budi Santoso</w:t>
      </w:r>
    </w:p>
    <w:p>
      <w:pPr>
        <w:pStyle w:val="BodyText"/>
      </w:pPr>
      <w:r>
        <w:t xml:space="preserve">Title: Director</w:t>
      </w:r>
    </w:p>
    <w:p>
      <w:pPr>
        <w:pStyle w:val="BodyText"/>
      </w:pPr>
      <w:r>
        <w:t xml:space="preserve">Date: _______________</w:t>
      </w:r>
    </w:p>
    <w:p>
      <w:pPr>
        <w:pStyle w:val="BodyText"/>
      </w:pPr>
      <w:r>
        <w:t xml:space="preserve">PT Nusantara Strategic Advisory — Business Consultant — Indonesia Jakarta</w:t>
      </w:r>
    </w:p>
    <w:p>
      <w:pPr>
        <w:pStyle w:val="BodyText"/>
      </w:pPr>
      <w:r>
        <w:t xml:space="preserve">This Quotation Estimate document is confidential and intended solely for the named recipient. Unauthorized reproduction or distribution is prohibited.</w:t>
      </w:r>
    </w:p>
    <w:p>
      <w:pPr>
        <w:pStyle w:val="BodyText"/>
      </w:pPr>
      <w:r>
        <w:t xml:space="preserve">Document generated on 15 June 2025 | Page 1 of 1</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Indonesia Jakarta</dc:title>
  <dc:creator/>
  <dc:language>en</dc:language>
  <cp:keywords/>
  <dcterms:created xsi:type="dcterms:W3CDTF">2026-10-10T07:07:47Z</dcterms:created>
  <dcterms:modified xsi:type="dcterms:W3CDTF">2026-10-10T07:07:47Z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