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Iran</w:t>
      </w:r>
      <w:r>
        <w:t xml:space="preserve"> </w:t>
      </w:r>
      <w:r>
        <w:t xml:space="preserve">Tehran</w:t>
      </w:r>
    </w:p>
    <w:bookmarkStart w:id="21" w:name="quotation-estimate"/>
    <w:p>
      <w:pPr>
        <w:pStyle w:val="Heading1"/>
      </w:pPr>
      <w:r>
        <w:t xml:space="preserve">QUOTATION ESTIMATE</w:t>
      </w:r>
    </w:p>
    <w:bookmarkStart w:id="20" w:name="business-consultant-services-iran-tehran"/>
    <w:p>
      <w:pPr>
        <w:pStyle w:val="Heading2"/>
      </w:pPr>
      <w:r>
        <w:t xml:space="preserve">Business Consultant Services — Iran Tehran</w:t>
      </w:r>
    </w:p>
    <w:p>
      <w:pPr>
        <w:pStyle w:val="FirstParagraph"/>
      </w:pPr>
      <w:r>
        <w:t xml:space="preserve">Professional Strategic Advisory &amp; Business Development Solutions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QTE-IRN-TEH-2025-0472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Mr. Amir Hosseini, Senior Business Consultant</w:t>
            </w:r>
          </w:p>
        </w:tc>
      </w:tr>
      <w:tr>
        <w:tc>
          <w:tcPr/>
          <w:p>
            <w:pPr>
              <w:pStyle w:val="Compact"/>
              <w:jc w:val="left"/>
            </w:pPr>
            <w:r>
              <w:t xml:space="preserve">Consultancy Firm:</w:t>
            </w:r>
          </w:p>
        </w:tc>
        <w:tc>
          <w:tcPr/>
          <w:p>
            <w:pPr>
              <w:pStyle w:val="Compact"/>
              <w:jc w:val="left"/>
            </w:pPr>
            <w:r>
              <w:t xml:space="preserve">Tehran Strategic Advisory Group (TSAG), Valiasr St., Tehran, Iran</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[Client Address], Tehran, Iran</w:t>
            </w:r>
          </w:p>
        </w:tc>
      </w:tr>
      <w:tr>
        <w:tc>
          <w:tcPr/>
          <w:p>
            <w:pPr>
              <w:pStyle w:val="Compact"/>
              <w:jc w:val="left"/>
            </w:pPr>
            <w:r>
              <w:t xml:space="preserve">Project Location:</w:t>
            </w:r>
          </w:p>
        </w:tc>
        <w:tc>
          <w:tcPr/>
          <w:p>
            <w:pPr>
              <w:pStyle w:val="Compact"/>
              <w:jc w:val="left"/>
            </w:pPr>
            <w:r>
              <w:t xml:space="preserve">Iran Tehran — Primary Office &amp; Field Operations</w:t>
            </w:r>
          </w:p>
        </w:tc>
      </w:tr>
      <w:tr>
        <w:tc>
          <w:tcPr/>
          <w:p>
            <w:pPr>
              <w:pStyle w:val="Compact"/>
              <w:jc w:val="left"/>
            </w:pPr>
            <w:r>
              <w:t xml:space="preserve">Currency:</w:t>
            </w:r>
          </w:p>
        </w:tc>
        <w:tc>
          <w:tcPr/>
          <w:p>
            <w:pPr>
              <w:pStyle w:val="Compact"/>
              <w:jc w:val="left"/>
            </w:pPr>
            <w:r>
              <w:t xml:space="preserve">Iranian Rial (IRR) / US Dollar (USD) equivalent</w:t>
            </w:r>
          </w:p>
        </w:tc>
      </w:tr>
    </w:tbl>
    <w:bookmarkStart w:id="22" w:name="executive-summary"/>
    <w:p>
      <w:pPr>
        <w:pStyle w:val="Heading2"/>
      </w:pPr>
      <w:r>
        <w:t xml:space="preserve">1. Executive Summary</w:t>
      </w:r>
    </w:p>
    <w:p>
      <w:pPr>
        <w:pStyle w:val="FirstParagraph"/>
      </w:pPr>
      <w:r>
        <w:t xml:space="preserve">This Quotation Estimate is formally issued by Tehran Strategic Advisory Group (TSAG) to provide comprehensive Business Consultant services tailored to the unique economic, regulatory, and market conditions of Iran Tehran. As a specialized Business Consultant operating within the capital city of Iran, our firm brings over fifteen years of experience in strategic planning, operational optimization, market entry analysis, and organizational development for enterprises based in and operating from Iran Tehran. This Quotation Estimate outlines the full scope of professional services, associated costs, timelines, and contractual terms governing the engagement.</w:t>
      </w:r>
    </w:p>
    <w:bookmarkEnd w:id="22"/>
    <w:bookmarkStart w:id="23" w:name="scope-of-business-consultant-services"/>
    <w:p>
      <w:pPr>
        <w:pStyle w:val="Heading2"/>
      </w:pPr>
      <w:r>
        <w:t xml:space="preserve">2. Scope of Business Consultant Services</w:t>
      </w:r>
    </w:p>
    <w:p>
      <w:pPr>
        <w:pStyle w:val="FirstParagraph"/>
      </w:pPr>
      <w:r>
        <w:t xml:space="preserve">The following Business Consultant services have been structured specifically to address the operational and strategic needs of businesses functioning within the Iran Tehran metropolitan area. Each service line reflects the regulatory framework, competitive landscape, and cultural business practices unique to Iran Tehran: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Strategic Business Planning &amp; Market Analysis for Iran Tehran — Comprehensive SWOT analysis, competitive benchmarking against local Tehran-based firms, and five-year strategic roadmap development aligned with Iran's national economic development goals.</w:t>
            </w:r>
          </w:p>
        </w:tc>
        <w:tc>
          <w:tcPr/>
          <w:p>
            <w:pPr>
              <w:pStyle w:val="Compact"/>
              <w:jc w:val="left"/>
            </w:pPr>
            <w:r>
              <w:t xml:space="preserve">6 weeks</w:t>
            </w:r>
          </w:p>
        </w:tc>
        <w:tc>
          <w:tcPr/>
          <w:p>
            <w:pPr>
              <w:pStyle w:val="Compact"/>
              <w:jc w:val="left"/>
            </w:pPr>
            <w:r>
              <w:t xml:space="preserve">$4,500 / week</w:t>
            </w:r>
          </w:p>
        </w:tc>
        <w:tc>
          <w:tcPr/>
          <w:p>
            <w:pPr>
              <w:pStyle w:val="Compact"/>
              <w:jc w:val="left"/>
            </w:pPr>
            <w:r>
              <w:t xml:space="preserve">$27,000</w:t>
            </w:r>
          </w:p>
        </w:tc>
      </w:tr>
      <w:tr>
        <w:tc>
          <w:tcPr/>
          <w:p>
            <w:pPr>
              <w:pStyle w:val="Compact"/>
              <w:jc w:val="left"/>
            </w:pPr>
            <w:r>
              <w:t xml:space="preserve">2</w:t>
            </w:r>
          </w:p>
        </w:tc>
        <w:tc>
          <w:tcPr/>
          <w:p>
            <w:pPr>
              <w:pStyle w:val="Compact"/>
              <w:jc w:val="left"/>
            </w:pPr>
            <w:r>
              <w:t xml:space="preserve">Operational Efficiency Audit &amp; Process Reengineering — On-site assessment of client facilities in Iran Tehran, identification of bottlenecks, workflow redesign, and implementation of lean management principles adapted to local labor regulations.</w:t>
            </w:r>
          </w:p>
        </w:tc>
        <w:tc>
          <w:tcPr/>
          <w:p>
            <w:pPr>
              <w:pStyle w:val="Compact"/>
              <w:jc w:val="left"/>
            </w:pPr>
            <w:r>
              <w:t xml:space="preserve">4 weeks</w:t>
            </w:r>
          </w:p>
        </w:tc>
        <w:tc>
          <w:tcPr/>
          <w:p>
            <w:pPr>
              <w:pStyle w:val="Compact"/>
              <w:jc w:val="left"/>
            </w:pPr>
            <w:r>
              <w:t xml:space="preserve">$3,800 / week</w:t>
            </w:r>
          </w:p>
        </w:tc>
        <w:tc>
          <w:tcPr/>
          <w:p>
            <w:pPr>
              <w:pStyle w:val="Compact"/>
              <w:jc w:val="left"/>
            </w:pPr>
            <w:r>
              <w:t xml:space="preserve">$15,200</w:t>
            </w:r>
          </w:p>
        </w:tc>
      </w:tr>
      <w:tr>
        <w:tc>
          <w:tcPr/>
          <w:p>
            <w:pPr>
              <w:pStyle w:val="Compact"/>
              <w:jc w:val="left"/>
            </w:pPr>
            <w:r>
              <w:t xml:space="preserve">3</w:t>
            </w:r>
          </w:p>
        </w:tc>
        <w:tc>
          <w:tcPr/>
          <w:p>
            <w:pPr>
              <w:pStyle w:val="Compact"/>
              <w:jc w:val="left"/>
            </w:pPr>
            <w:r>
              <w:t xml:space="preserve">Regulatory Compliance &amp; Licensing Advisory (Iran Tehran) — Guidance on obtaining and maintaining all necessary business permits, tax registrations, and industry-specific licenses required by the Tehran Municipality and relevant Iranian governmental bodies.</w:t>
            </w:r>
          </w:p>
        </w:tc>
        <w:tc>
          <w:tcPr/>
          <w:p>
            <w:pPr>
              <w:pStyle w:val="Compact"/>
              <w:jc w:val="left"/>
            </w:pPr>
            <w:r>
              <w:t xml:space="preserve">3 weeks</w:t>
            </w:r>
          </w:p>
        </w:tc>
        <w:tc>
          <w:tcPr/>
          <w:p>
            <w:pPr>
              <w:pStyle w:val="Compact"/>
              <w:jc w:val="left"/>
            </w:pPr>
            <w:r>
              <w:t xml:space="preserve">$3,200 / week</w:t>
            </w:r>
          </w:p>
        </w:tc>
        <w:tc>
          <w:tcPr/>
          <w:p>
            <w:pPr>
              <w:pStyle w:val="Compact"/>
              <w:jc w:val="left"/>
            </w:pPr>
            <w:r>
              <w:t xml:space="preserve">$9,600</w:t>
            </w:r>
          </w:p>
        </w:tc>
      </w:tr>
      <w:tr>
        <w:tc>
          <w:tcPr/>
          <w:p>
            <w:pPr>
              <w:pStyle w:val="Compact"/>
              <w:jc w:val="left"/>
            </w:pPr>
            <w:r>
              <w:t xml:space="preserve">4</w:t>
            </w:r>
          </w:p>
        </w:tc>
        <w:tc>
          <w:tcPr/>
          <w:p>
            <w:pPr>
              <w:pStyle w:val="Compact"/>
              <w:jc w:val="left"/>
            </w:pPr>
            <w:r>
              <w:t xml:space="preserve">Human Capital Development &amp; Organizational Design — Design of organizational structure, recruitment strategy, performance management systems, and training programs compliant with Iranian labor law and tailored to the Iran Tehran talent market.</w:t>
            </w:r>
          </w:p>
        </w:tc>
        <w:tc>
          <w:tcPr/>
          <w:p>
            <w:pPr>
              <w:pStyle w:val="Compact"/>
              <w:jc w:val="left"/>
            </w:pPr>
            <w:r>
              <w:t xml:space="preserve">5 weeks</w:t>
            </w:r>
          </w:p>
        </w:tc>
        <w:tc>
          <w:tcPr/>
          <w:p>
            <w:pPr>
              <w:pStyle w:val="Compact"/>
              <w:jc w:val="left"/>
            </w:pPr>
            <w:r>
              <w:t xml:space="preserve">$3,500 / week</w:t>
            </w:r>
          </w:p>
        </w:tc>
        <w:tc>
          <w:tcPr/>
          <w:p>
            <w:pPr>
              <w:pStyle w:val="Compact"/>
              <w:jc w:val="left"/>
            </w:pPr>
            <w:r>
              <w:t xml:space="preserve">$17,500</w:t>
            </w:r>
          </w:p>
        </w:tc>
      </w:tr>
      <w:tr>
        <w:tc>
          <w:tcPr/>
          <w:p>
            <w:pPr>
              <w:pStyle w:val="Compact"/>
              <w:jc w:val="left"/>
            </w:pPr>
            <w:r>
              <w:t xml:space="preserve">5</w:t>
            </w:r>
          </w:p>
        </w:tc>
        <w:tc>
          <w:tcPr/>
          <w:p>
            <w:pPr>
              <w:pStyle w:val="Compact"/>
              <w:jc w:val="left"/>
            </w:pPr>
            <w:r>
              <w:t xml:space="preserve">Digital Transformation &amp; E-Commerce Strategy for Iran Tehran Market — Assessment of current digital infrastructure, recommendation of technology stack, and development of an e-commerce and digital marketing strategy targeting the Iran Tehran consumer base.</w:t>
            </w:r>
          </w:p>
        </w:tc>
        <w:tc>
          <w:tcPr/>
          <w:p>
            <w:pPr>
              <w:pStyle w:val="Compact"/>
              <w:jc w:val="left"/>
            </w:pPr>
            <w:r>
              <w:t xml:space="preserve">4 weeks</w:t>
            </w:r>
          </w:p>
        </w:tc>
        <w:tc>
          <w:tcPr/>
          <w:p>
            <w:pPr>
              <w:pStyle w:val="Compact"/>
              <w:jc w:val="left"/>
            </w:pPr>
            <w:r>
              <w:t xml:space="preserve">$4,000 / week</w:t>
            </w:r>
          </w:p>
        </w:tc>
        <w:tc>
          <w:tcPr/>
          <w:p>
            <w:pPr>
              <w:pStyle w:val="Compact"/>
              <w:jc w:val="left"/>
            </w:pPr>
            <w:r>
              <w:t xml:space="preserve">$16,000</w:t>
            </w:r>
          </w:p>
        </w:tc>
      </w:tr>
      <w:tr>
        <w:tc>
          <w:tcPr/>
          <w:p>
            <w:pPr>
              <w:pStyle w:val="Compact"/>
              <w:jc w:val="left"/>
            </w:pPr>
            <w:r>
              <w:t xml:space="preserve">6</w:t>
            </w:r>
          </w:p>
        </w:tc>
        <w:tc>
          <w:tcPr/>
          <w:p>
            <w:pPr>
              <w:pStyle w:val="Compact"/>
              <w:jc w:val="left"/>
            </w:pPr>
            <w:r>
              <w:t xml:space="preserve">Financial Modeling &amp; Investment Readiness Assessment — Construction of detailed financial projections, cash flow models, and investor presentation materials to support potential funding rounds or partnership negotiations within the Iran Tehran business ecosystem.</w:t>
            </w:r>
          </w:p>
        </w:tc>
        <w:tc>
          <w:tcPr/>
          <w:p>
            <w:pPr>
              <w:pStyle w:val="Compact"/>
              <w:jc w:val="left"/>
            </w:pPr>
            <w:r>
              <w:t xml:space="preserve">3 weeks</w:t>
            </w:r>
          </w:p>
        </w:tc>
        <w:tc>
          <w:tcPr/>
          <w:p>
            <w:pPr>
              <w:pStyle w:val="Compact"/>
              <w:jc w:val="left"/>
            </w:pPr>
            <w:r>
              <w:t xml:space="preserve">$4,200 / week</w:t>
            </w:r>
          </w:p>
        </w:tc>
        <w:tc>
          <w:tcPr/>
          <w:p>
            <w:pPr>
              <w:pStyle w:val="Compact"/>
              <w:jc w:val="left"/>
            </w:pPr>
            <w:r>
              <w:t xml:space="preserve">$12,600</w:t>
            </w:r>
          </w:p>
        </w:tc>
      </w:tr>
      <w:tr>
        <w:tc>
          <w:tcPr/>
          <w:p>
            <w:pPr>
              <w:pStyle w:val="Compact"/>
              <w:jc w:val="left"/>
            </w:pPr>
            <w:r>
              <w:t xml:space="preserve">7</w:t>
            </w:r>
          </w:p>
        </w:tc>
        <w:tc>
          <w:tcPr/>
          <w:p>
            <w:pPr>
              <w:pStyle w:val="Compact"/>
              <w:jc w:val="left"/>
            </w:pPr>
            <w:r>
              <w:t xml:space="preserve">Ongoing Advisory &amp; Quarterly Review (Post-Implementation) — Continuous Business Consultant support, quarterly strategic reviews, and ad-hoc advisory sessions for a period of twelve months following project completion.</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w:t>
            </w:r>
          </w:p>
        </w:tc>
      </w:tr>
      <w:tr>
        <w:tc>
          <w:tcPr>
            <w:gridSpan w:val="4"/>
          </w:tcPr>
          <w:p>
            <w:pPr>
              <w:pStyle w:val="Compact"/>
              <w:jc w:val="left"/>
            </w:pPr>
            <w:r>
              <w:t xml:space="preserve">Subtotal (Professional Services)</w:t>
            </w:r>
          </w:p>
        </w:tc>
        <w:tc>
          <w:tcPr/>
          <w:p>
            <w:pPr>
              <w:pStyle w:val="Compact"/>
              <w:jc w:val="left"/>
            </w:pPr>
            <w:r>
              <w:t xml:space="preserve">$119,500</w:t>
            </w:r>
          </w:p>
        </w:tc>
      </w:tr>
      <w:tr>
        <w:tc>
          <w:tcPr>
            <w:gridSpan w:val="4"/>
          </w:tcPr>
          <w:p>
            <w:pPr>
              <w:pStyle w:val="Compact"/>
              <w:jc w:val="left"/>
            </w:pPr>
            <w:r>
              <w:t xml:space="preserve">Travel, Accommodation &amp; Local Logistics (Iran Tehran)</w:t>
            </w:r>
          </w:p>
        </w:tc>
        <w:tc>
          <w:tcPr/>
          <w:p>
            <w:pPr>
              <w:pStyle w:val="Compact"/>
              <w:jc w:val="left"/>
            </w:pPr>
            <w:r>
              <w:t xml:space="preserve">$4,500</w:t>
            </w:r>
          </w:p>
        </w:tc>
      </w:tr>
      <w:tr>
        <w:tc>
          <w:tcPr>
            <w:gridSpan w:val="4"/>
          </w:tcPr>
          <w:p>
            <w:pPr>
              <w:pStyle w:val="Compact"/>
              <w:jc w:val="left"/>
            </w:pPr>
            <w:r>
              <w:t xml:space="preserve">Research, Data Licensing &amp; Software Tools</w:t>
            </w:r>
          </w:p>
        </w:tc>
        <w:tc>
          <w:tcPr/>
          <w:p>
            <w:pPr>
              <w:pStyle w:val="Compact"/>
              <w:jc w:val="left"/>
            </w:pPr>
            <w:r>
              <w:t xml:space="preserve">$3,200</w:t>
            </w:r>
          </w:p>
        </w:tc>
      </w:tr>
      <w:tr>
        <w:tc>
          <w:tcPr>
            <w:gridSpan w:val="4"/>
          </w:tcPr>
          <w:p>
            <w:pPr>
              <w:pStyle w:val="Compact"/>
              <w:jc w:val="left"/>
            </w:pPr>
            <w:r>
              <w:t xml:space="preserve">Applicable Taxes &amp; Government Levies (Iran)</w:t>
            </w:r>
          </w:p>
        </w:tc>
        <w:tc>
          <w:tcPr/>
          <w:p>
            <w:pPr>
              <w:pStyle w:val="Compact"/>
              <w:jc w:val="left"/>
            </w:pPr>
            <w:r>
              <w:t xml:space="preserve">$5,975</w:t>
            </w:r>
          </w:p>
        </w:tc>
      </w:tr>
      <w:tr>
        <w:tc>
          <w:tcPr>
            <w:gridSpan w:val="4"/>
          </w:tcPr>
          <w:p>
            <w:pPr>
              <w:pStyle w:val="Compact"/>
              <w:jc w:val="left"/>
            </w:pPr>
            <w:r>
              <w:t xml:space="preserve">GRAND TOTAL (Quotation Estimate)</w:t>
            </w:r>
          </w:p>
        </w:tc>
        <w:tc>
          <w:tcPr/>
          <w:p>
            <w:pPr>
              <w:pStyle w:val="Compact"/>
              <w:jc w:val="left"/>
            </w:pPr>
            <w:r>
              <w:t xml:space="preserve">$133,175</w:t>
            </w:r>
          </w:p>
        </w:tc>
      </w:tr>
    </w:tbl>
    <w:bookmarkEnd w:id="23"/>
    <w:bookmarkStart w:id="24" w:name="project-timeline-milestones"/>
    <w:p>
      <w:pPr>
        <w:pStyle w:val="Heading2"/>
      </w:pPr>
      <w:r>
        <w:t xml:space="preserve">3. Project Timeline &amp; Milestones</w:t>
      </w:r>
    </w:p>
    <w:p>
      <w:pPr>
        <w:pStyle w:val="FirstParagraph"/>
      </w:pPr>
      <w:r>
        <w:t xml:space="preserve">The total engagement period for the primary Business Consultant deliverables is approximately twenty-five (25) weeks, commencing upon mutual execution of this Quotation Estimate and the accompanying Service Agreement. The ongoing advisory phase extends an additional twelve months. All on-site work will be conducted at the client's premises in Iran Tehran, with the Business Consultant maintaining a dedicated office presence at the TSAG headquarters on Valiasr Street, Tehran, for client meetings and collaborative sessions. Milestone-based progress reports will be submitted bi-weekly to the client's designated project sponsor.</w:t>
      </w:r>
    </w:p>
    <w:bookmarkEnd w:id="24"/>
    <w:bookmarkStart w:id="25"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total Quotation Estimate amount ($39,952.50) due within seven (7) business days of contract signing.</w:t>
      </w:r>
    </w:p>
    <w:p>
      <w:pPr>
        <w:numPr>
          <w:ilvl w:val="0"/>
          <w:numId w:val="1001"/>
        </w:numPr>
        <w:pStyle w:val="Compact"/>
      </w:pPr>
      <w:r>
        <w:rPr>
          <w:bCs/>
          <w:b/>
        </w:rPr>
        <w:t xml:space="preserve">Milestone Payments:</w:t>
      </w:r>
      <w:r>
        <w:t xml:space="preserve"> </w:t>
      </w:r>
      <w:r>
        <w:t xml:space="preserve">50% of the total amount ($66,587.50) payable in equal installments upon completion of each major service phase as defined in the project schedule.</w:t>
      </w:r>
    </w:p>
    <w:p>
      <w:pPr>
        <w:numPr>
          <w:ilvl w:val="0"/>
          <w:numId w:val="1001"/>
        </w:numPr>
        <w:pStyle w:val="Compact"/>
      </w:pPr>
      <w:r>
        <w:rPr>
          <w:bCs/>
          <w:b/>
        </w:rPr>
        <w:t xml:space="preserve">Final Payment:</w:t>
      </w:r>
      <w:r>
        <w:t xml:space="preserve"> </w:t>
      </w:r>
      <w:r>
        <w:t xml:space="preserve">20% of the total amount ($26,635.00) due upon successful delivery and client acceptance of all final deliverables.</w:t>
      </w:r>
    </w:p>
    <w:p>
      <w:pPr>
        <w:numPr>
          <w:ilvl w:val="0"/>
          <w:numId w:val="1001"/>
        </w:numPr>
        <w:pStyle w:val="Compact"/>
      </w:pPr>
      <w:r>
        <w:rPr>
          <w:bCs/>
          <w:b/>
        </w:rPr>
        <w:t xml:space="preserve">Ongoing Advisory Fees:</w:t>
      </w:r>
      <w:r>
        <w:t xml:space="preserve"> </w:t>
      </w:r>
      <w:r>
        <w:t xml:space="preserve">Billed monthly in arrears, due within fifteen (15) days of invoice issuance.</w:t>
      </w:r>
    </w:p>
    <w:p>
      <w:pPr>
        <w:numPr>
          <w:ilvl w:val="0"/>
          <w:numId w:val="1001"/>
        </w:numPr>
        <w:pStyle w:val="Compact"/>
      </w:pPr>
      <w:r>
        <w:t xml:space="preserve">All payments shall be made via bank transfer to the designated account of Tehran Strategic Advisory Group, Tehran, Iran. Late payments shall accrue interest at a rate of 1.5% per month.</w:t>
      </w:r>
    </w:p>
    <w:bookmarkEnd w:id="25"/>
    <w:bookmarkStart w:id="26"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in Iran Tehran.</w:t>
      </w:r>
    </w:p>
    <w:p>
      <w:pPr>
        <w:numPr>
          <w:ilvl w:val="0"/>
          <w:numId w:val="1002"/>
        </w:numPr>
        <w:pStyle w:val="Compact"/>
      </w:pPr>
      <w:r>
        <w:t xml:space="preserve">All Business Consultant services shall be performed in a professional and confidential manner. A mutual Non-Disclosure Agreement (NDA) shall be executed prior to the commencement of work.</w:t>
      </w:r>
    </w:p>
    <w:p>
      <w:pPr>
        <w:numPr>
          <w:ilvl w:val="0"/>
          <w:numId w:val="1002"/>
        </w:numPr>
        <w:pStyle w:val="Compact"/>
      </w:pPr>
      <w:r>
        <w:t xml:space="preserve">The Business Consultant shall comply with all applicable laws and regulations of the Islamic Republic of Iran, including but not limited to the Commercial Code, Labor Law, and tax obligations administered by the Iranian National Tax Administration.</w:t>
      </w:r>
    </w:p>
    <w:p>
      <w:pPr>
        <w:numPr>
          <w:ilvl w:val="0"/>
          <w:numId w:val="1002"/>
        </w:numPr>
        <w:pStyle w:val="Compact"/>
      </w:pPr>
      <w:r>
        <w:t xml:space="preserve">Intellectual property created specifically for the client under this engagement shall transfer to the client upon full payment. Pre-existing methodologies, frameworks, and tools of the Business Consultant remain the property of TSAG.</w:t>
      </w:r>
    </w:p>
    <w:p>
      <w:pPr>
        <w:numPr>
          <w:ilvl w:val="0"/>
          <w:numId w:val="1002"/>
        </w:numPr>
        <w:pStyle w:val="Compact"/>
      </w:pPr>
      <w:r>
        <w:t xml:space="preserve">Force majeure events, including but not limited to government sanctions changes, natural disasters, or civil unrest affecting Iran Tehran, shall suspend obligations proportionally without penalty to either party.</w:t>
      </w:r>
    </w:p>
    <w:p>
      <w:pPr>
        <w:numPr>
          <w:ilvl w:val="0"/>
          <w:numId w:val="1002"/>
        </w:numPr>
        <w:pStyle w:val="Compact"/>
      </w:pPr>
      <w:r>
        <w:t xml:space="preserve">Disputes arising from this Quotation Estimate or the resulting Service Agreement shall be resolved through arbitration in Tehran, Iran, in accordance with the rules of the Tehran Regional Arbitration Center (TRAC).</w:t>
      </w:r>
    </w:p>
    <w:p>
      <w:pPr>
        <w:numPr>
          <w:ilvl w:val="0"/>
          <w:numId w:val="1002"/>
        </w:numPr>
        <w:pStyle w:val="Compact"/>
      </w:pPr>
      <w:r>
        <w:t xml:space="preserve">This Quotation Estimate does not constitute a binding contract until both parties have executed the formal Service Agreement incorporating these terms.</w:t>
      </w:r>
    </w:p>
    <w:bookmarkEnd w:id="26"/>
    <w:bookmarkStart w:id="27"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set forth in this Quotation Estimate for Business Consultant services in Iran Tehran. This document, once countersigned, shall serve as the basis for the formal Service Agreement.</w:t>
      </w:r>
    </w:p>
    <w:p>
      <w:pPr>
        <w:pStyle w:val="BodyText"/>
      </w:pPr>
      <w:r>
        <w:rPr>
          <w:bCs/>
          <w:b/>
        </w:rPr>
        <w:t xml:space="preserve">For Tehran Strategic Advisory Group (TSAG)</w:t>
      </w:r>
      <w:r>
        <w:br/>
      </w:r>
      <w:r>
        <w:br/>
      </w:r>
      <w:r>
        <w:t xml:space="preserve">Name: Mr. Amir Hosseini</w:t>
      </w:r>
      <w:r>
        <w:br/>
      </w:r>
      <w:r>
        <w:t xml:space="preserve">Title: Senior Business Consultant / Managing Director</w:t>
      </w:r>
      <w:r>
        <w:br/>
      </w:r>
      <w:r>
        <w:t xml:space="preserve">Signature: _________________________</w:t>
      </w:r>
      <w:r>
        <w:br/>
      </w:r>
      <w:r>
        <w:t xml:space="preserve">Date: _________________________</w:t>
      </w:r>
    </w:p>
    <w:p>
      <w:pPr>
        <w:pStyle w:val="BodyText"/>
      </w:pPr>
      <w:r>
        <w:rPr>
          <w:bCs/>
          <w:b/>
        </w:rPr>
        <w:t xml:space="preserve">For the Client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Tehran Strategic Advisory Group (TSAG) — Valiasr St., Tehran, Iran — Tel: +98-21-XXXX-XXXX — Email: info@tsag-iran.com</w:t>
      </w:r>
    </w:p>
    <w:p>
      <w:pPr>
        <w:pStyle w:val="BodyText"/>
      </w:pPr>
      <w:r>
        <w:t xml:space="preserve">This Quotation Estimate is the property of TSAG and is intended solely for the named client. Unauthorized reproduction or distribution is prohibited.</w:t>
      </w:r>
    </w:p>
    <w:p>
      <w:pPr>
        <w:pStyle w:val="BodyText"/>
      </w:pPr>
      <w:r>
        <w:t xml:space="preserve">Document Reference: QTE-IRN-TEH-2025-0472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Iran Tehran</dc:title>
  <dc:creator/>
  <dc:language>en</dc:language>
  <cp:keywords/>
  <dcterms:created xsi:type="dcterms:W3CDTF">2026-10-10T01:06:42Z</dcterms:created>
  <dcterms:modified xsi:type="dcterms:W3CDTF">2026-10-10T01:06:42Z</dcterms:modified>
</cp:coreProperties>
</file>

<file path=docProps/custom.xml><?xml version="1.0" encoding="utf-8"?>
<Properties xmlns="http://schemas.openxmlformats.org/officeDocument/2006/custom-properties" xmlns:vt="http://schemas.openxmlformats.org/officeDocument/2006/docPropsVTypes"/>
</file>