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Business Consultant Services</w:t>
      </w:r>
    </w:p>
    <w:p>
      <w:pPr>
        <w:pStyle w:val="BodyText"/>
      </w:pPr>
      <w:r>
        <w:t xml:space="preserve">Baghdad, Republic of Iraq</w:t>
      </w:r>
    </w:p>
    <w:p>
      <w:pPr>
        <w:pStyle w:val="BodyText"/>
      </w:pPr>
      <w:r>
        <w:t xml:space="preserve">Document No: QE-BAG-2025-0047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Iraqi Dinar (IQD) / USD</w:t>
      </w:r>
    </w:p>
    <w:p>
      <w:pPr>
        <w:pStyle w:val="BodyText"/>
      </w:pPr>
      <w:r>
        <w:rPr>
          <w:bCs/>
          <w:b/>
        </w:rPr>
        <w:t xml:space="preserve">Prepared By:</w:t>
      </w:r>
      <w:r>
        <w:t xml:space="preserve"> </w:t>
      </w:r>
      <w:r>
        <w:t xml:space="preserve">Al-Rafidain Strategic Advisory LLC</w:t>
      </w:r>
      <w:r>
        <w:br/>
      </w:r>
      <w:r>
        <w:rPr>
          <w:bCs/>
          <w:b/>
        </w:rPr>
        <w:t xml:space="preserve">Location:</w:t>
      </w:r>
      <w:r>
        <w:t xml:space="preserve"> </w:t>
      </w:r>
      <w:r>
        <w:t xml:space="preserve">Al-Mansour District, Baghdad, Iraq</w:t>
      </w:r>
      <w:r>
        <w:br/>
      </w:r>
      <w:r>
        <w:rPr>
          <w:bCs/>
          <w:b/>
        </w:rPr>
        <w:t xml:space="preserve">Contact:</w:t>
      </w:r>
      <w:r>
        <w:t xml:space="preserve"> </w:t>
      </w:r>
      <w:r>
        <w:t xml:space="preserve">+964 770 123 4567</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Tigris Industrial Development Company (TIDC)</w:t>
            </w:r>
          </w:p>
        </w:tc>
      </w:tr>
      <w:tr>
        <w:tc>
          <w:tcPr/>
          <w:p>
            <w:pPr>
              <w:pStyle w:val="Compact"/>
              <w:jc w:val="left"/>
            </w:pPr>
            <w:r>
              <w:rPr>
                <w:bCs/>
                <w:b/>
              </w:rPr>
              <w:t xml:space="preserve">Address:</w:t>
            </w:r>
          </w:p>
        </w:tc>
        <w:tc>
          <w:tcPr/>
          <w:p>
            <w:pPr>
              <w:pStyle w:val="Compact"/>
              <w:jc w:val="left"/>
            </w:pPr>
            <w:r>
              <w:t xml:space="preserve">Al-Karrada District, Baghdad, Republic of Iraq</w:t>
            </w:r>
          </w:p>
        </w:tc>
      </w:tr>
      <w:tr>
        <w:tc>
          <w:tcPr/>
          <w:p>
            <w:pPr>
              <w:pStyle w:val="Compact"/>
              <w:jc w:val="left"/>
            </w:pPr>
            <w:r>
              <w:rPr>
                <w:bCs/>
                <w:b/>
              </w:rPr>
              <w:t xml:space="preserve">Industry:</w:t>
            </w:r>
          </w:p>
        </w:tc>
        <w:tc>
          <w:tcPr/>
          <w:p>
            <w:pPr>
              <w:pStyle w:val="Compact"/>
              <w:jc w:val="left"/>
            </w:pPr>
            <w:r>
              <w:t xml:space="preserve">Manufacturing &amp; Industrial Services</w:t>
            </w:r>
          </w:p>
        </w:tc>
      </w:tr>
      <w:tr>
        <w:tc>
          <w:tcPr/>
          <w:p>
            <w:pPr>
              <w:pStyle w:val="Compact"/>
              <w:jc w:val="left"/>
            </w:pPr>
            <w:r>
              <w:rPr>
                <w:bCs/>
                <w:b/>
              </w:rPr>
              <w:t xml:space="preserve">Point of Contact:</w:t>
            </w:r>
          </w:p>
        </w:tc>
        <w:tc>
          <w:tcPr/>
          <w:p>
            <w:pPr>
              <w:pStyle w:val="Compact"/>
              <w:jc w:val="left"/>
            </w:pPr>
            <w:r>
              <w:t xml:space="preserve">Mr. Ahmed Al-Juburi, Chief Executive Officer</w:t>
            </w:r>
          </w:p>
        </w:tc>
      </w:tr>
      <w:tr>
        <w:tc>
          <w:tcPr/>
          <w:p>
            <w:pPr>
              <w:pStyle w:val="Compact"/>
              <w:jc w:val="left"/>
            </w:pPr>
            <w:r>
              <w:rPr>
                <w:bCs/>
                <w:b/>
              </w:rPr>
              <w:t xml:space="preserve">Reference No:</w:t>
            </w:r>
          </w:p>
        </w:tc>
        <w:tc>
          <w:tcPr/>
          <w:p>
            <w:pPr>
              <w:pStyle w:val="Compact"/>
              <w:jc w:val="left"/>
            </w:pPr>
            <w:r>
              <w:t xml:space="preserve">TIDC-REQ-2025-0112</w:t>
            </w:r>
          </w:p>
        </w:tc>
      </w:tr>
    </w:tbl>
    <w:bookmarkEnd w:id="21"/>
    <w:bookmarkStart w:id="22" w:name="scope-of-business-consultant-services"/>
    <w:p>
      <w:pPr>
        <w:pStyle w:val="Heading2"/>
      </w:pPr>
      <w:r>
        <w:t xml:space="preserve">2. Scope of Business Consultant Services</w:t>
      </w:r>
    </w:p>
    <w:p>
      <w:pPr>
        <w:pStyle w:val="FirstParagraph"/>
      </w:pPr>
      <w:r>
        <w:t xml:space="preserve">This Quotation Estimate is issued by Al-Rafidain Strategic Advisory LLC to provide comprehensive Business Consultant services tailored to the operational and strategic needs of Tigris Industrial Development Company, based in Baghdad, Iraq. The engagement is designed to address the unique regulatory, economic, and market conditions present in the Iraqi capital and to support the client's expansion objectives within the broader Iraqi business landscape.</w:t>
      </w:r>
    </w:p>
    <w:p>
      <w:pPr>
        <w:pStyle w:val="BodyText"/>
      </w:pPr>
      <w:r>
        <w:t xml:space="preserve">The Business Consultant engagement encompasses the following core service areas:</w:t>
      </w:r>
    </w:p>
    <w:p>
      <w:pPr>
        <w:numPr>
          <w:ilvl w:val="0"/>
          <w:numId w:val="1001"/>
        </w:numPr>
        <w:pStyle w:val="Compact"/>
      </w:pPr>
      <w:r>
        <w:rPr>
          <w:bCs/>
          <w:b/>
        </w:rPr>
        <w:t xml:space="preserve">Strategic Business Planning:</w:t>
      </w:r>
      <w:r>
        <w:t xml:space="preserve"> </w:t>
      </w:r>
      <w:r>
        <w:t xml:space="preserve">Development of a five-year strategic roadmap aligned with Iraq's National Development Plan and the Iraqi government's economic diversification initiatives. This includes market analysis specific to the Baghdad metropolitan area and surrounding governorates.</w:t>
      </w:r>
    </w:p>
    <w:p>
      <w:pPr>
        <w:numPr>
          <w:ilvl w:val="0"/>
          <w:numId w:val="1001"/>
        </w:numPr>
        <w:pStyle w:val="Compact"/>
      </w:pPr>
      <w:r>
        <w:rPr>
          <w:bCs/>
          <w:b/>
        </w:rPr>
        <w:t xml:space="preserve">Operational Efficiency Assessment:</w:t>
      </w:r>
      <w:r>
        <w:t xml:space="preserve"> </w:t>
      </w:r>
      <w:r>
        <w:t xml:space="preserve">A thorough review of current operational processes, supply chain logistics within Iraq, and production workflows to identify bottlenecks and recommend cost-saving measures applicable to the Iraqi industrial sector.</w:t>
      </w:r>
    </w:p>
    <w:p>
      <w:pPr>
        <w:numPr>
          <w:ilvl w:val="0"/>
          <w:numId w:val="1001"/>
        </w:numPr>
        <w:pStyle w:val="Compact"/>
      </w:pPr>
      <w:r>
        <w:rPr>
          <w:bCs/>
          <w:b/>
        </w:rPr>
        <w:t xml:space="preserve">Regulatory Compliance Advisory:</w:t>
      </w:r>
      <w:r>
        <w:t xml:space="preserve"> </w:t>
      </w:r>
      <w:r>
        <w:t xml:space="preserve">Guidance on compliance with Iraqi Commercial Law, the Iraqi Companies Law No. 21 of 1997, tax obligations under the Iraqi Ministry of Finance, and licensing requirements from the Baghdad Chamber of Commerce and the Iraqi Investment Commission.</w:t>
      </w:r>
    </w:p>
    <w:p>
      <w:pPr>
        <w:numPr>
          <w:ilvl w:val="0"/>
          <w:numId w:val="1001"/>
        </w:numPr>
        <w:pStyle w:val="Compact"/>
      </w:pPr>
      <w:r>
        <w:rPr>
          <w:bCs/>
          <w:b/>
        </w:rPr>
        <w:t xml:space="preserve">Market Entry &amp; Expansion Strategy:</w:t>
      </w:r>
      <w:r>
        <w:t xml:space="preserve"> </w:t>
      </w:r>
      <w:r>
        <w:t xml:space="preserve">Analysis of competitive positioning within Baghdad's industrial zones, identification of partnership opportunities with local and international stakeholders, and development of go-to-market strategies for new product lines.</w:t>
      </w:r>
    </w:p>
    <w:p>
      <w:pPr>
        <w:numPr>
          <w:ilvl w:val="0"/>
          <w:numId w:val="1001"/>
        </w:numPr>
        <w:pStyle w:val="Compact"/>
      </w:pPr>
      <w:r>
        <w:rPr>
          <w:bCs/>
          <w:b/>
        </w:rPr>
        <w:t xml:space="preserve">Human Capital &amp; Organizational Development:</w:t>
      </w:r>
      <w:r>
        <w:t xml:space="preserve"> </w:t>
      </w:r>
      <w:r>
        <w:t xml:space="preserve">Assessment of workforce structure, training needs analysis, and recommendation of performance management frameworks suited to the Iraqi business culture and labor regulations.</w:t>
      </w:r>
    </w:p>
    <w:p>
      <w:pPr>
        <w:numPr>
          <w:ilvl w:val="0"/>
          <w:numId w:val="1001"/>
        </w:numPr>
        <w:pStyle w:val="Compact"/>
      </w:pPr>
      <w:r>
        <w:rPr>
          <w:bCs/>
          <w:b/>
        </w:rPr>
        <w:t xml:space="preserve">Financial Structuring &amp; Risk Management:</w:t>
      </w:r>
      <w:r>
        <w:t xml:space="preserve"> </w:t>
      </w:r>
      <w:r>
        <w:t xml:space="preserve">Advisory on capital allocation, foreign exchange risk management in the Iraqi Dinar market, and establishment of internal financial controls compliant with Iraqi auditing standards.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Cost (USD)</w:t>
            </w:r>
          </w:p>
        </w:tc>
        <w:tc>
          <w:tcPr/>
          <w:p>
            <w:pPr>
              <w:pStyle w:val="Compact"/>
              <w:jc w:val="left"/>
            </w:pPr>
            <w:r>
              <w:t xml:space="preserve">Cost (IQD)</w:t>
            </w:r>
          </w:p>
        </w:tc>
      </w:tr>
      <w:tr>
        <w:tc>
          <w:tcPr/>
          <w:p>
            <w:pPr>
              <w:pStyle w:val="Compact"/>
              <w:jc w:val="left"/>
            </w:pPr>
            <w:r>
              <w:t xml:space="preserve">01</w:t>
            </w:r>
          </w:p>
        </w:tc>
        <w:tc>
          <w:tcPr/>
          <w:p>
            <w:pPr>
              <w:pStyle w:val="Compact"/>
              <w:jc w:val="left"/>
            </w:pPr>
            <w:r>
              <w:t xml:space="preserve">Initial Diagnostic Assessment &amp; Site Visit (Baghdad Office &amp; Factory)</w:t>
            </w:r>
          </w:p>
        </w:tc>
        <w:tc>
          <w:tcPr/>
          <w:p>
            <w:pPr>
              <w:pStyle w:val="Compact"/>
              <w:jc w:val="left"/>
            </w:pPr>
            <w:r>
              <w:t xml:space="preserve">2 Weeks</w:t>
            </w:r>
          </w:p>
        </w:tc>
        <w:tc>
          <w:tcPr/>
          <w:p>
            <w:pPr>
              <w:pStyle w:val="Compact"/>
              <w:jc w:val="left"/>
            </w:pPr>
            <w:r>
              <w:t xml:space="preserve">$4,500</w:t>
            </w:r>
          </w:p>
        </w:tc>
        <w:tc>
          <w:tcPr/>
          <w:p>
            <w:pPr>
              <w:pStyle w:val="Compact"/>
              <w:jc w:val="left"/>
            </w:pPr>
            <w:r>
              <w:t xml:space="preserve">5,850,000</w:t>
            </w:r>
          </w:p>
        </w:tc>
      </w:tr>
      <w:tr>
        <w:tc>
          <w:tcPr/>
          <w:p>
            <w:pPr>
              <w:pStyle w:val="Compact"/>
              <w:jc w:val="left"/>
            </w:pPr>
            <w:r>
              <w:t xml:space="preserve">02</w:t>
            </w:r>
          </w:p>
        </w:tc>
        <w:tc>
          <w:tcPr/>
          <w:p>
            <w:pPr>
              <w:pStyle w:val="Compact"/>
              <w:jc w:val="left"/>
            </w:pPr>
            <w:r>
              <w:t xml:space="preserve">Strategic Business Plan Development &amp; Presentation</w:t>
            </w:r>
          </w:p>
        </w:tc>
        <w:tc>
          <w:tcPr/>
          <w:p>
            <w:pPr>
              <w:pStyle w:val="Compact"/>
              <w:jc w:val="left"/>
            </w:pPr>
            <w:r>
              <w:t xml:space="preserve">4 Weeks</w:t>
            </w:r>
          </w:p>
        </w:tc>
        <w:tc>
          <w:tcPr/>
          <w:p>
            <w:pPr>
              <w:pStyle w:val="Compact"/>
              <w:jc w:val="left"/>
            </w:pPr>
            <w:r>
              <w:t xml:space="preserve">$8,200</w:t>
            </w:r>
          </w:p>
        </w:tc>
        <w:tc>
          <w:tcPr/>
          <w:p>
            <w:pPr>
              <w:pStyle w:val="Compact"/>
              <w:jc w:val="left"/>
            </w:pPr>
            <w:r>
              <w:t xml:space="preserve">10,660,000</w:t>
            </w:r>
          </w:p>
        </w:tc>
      </w:tr>
      <w:tr>
        <w:tc>
          <w:tcPr/>
          <w:p>
            <w:pPr>
              <w:pStyle w:val="Compact"/>
              <w:jc w:val="left"/>
            </w:pPr>
            <w:r>
              <w:t xml:space="preserve">03</w:t>
            </w:r>
          </w:p>
        </w:tc>
        <w:tc>
          <w:tcPr/>
          <w:p>
            <w:pPr>
              <w:pStyle w:val="Compact"/>
              <w:jc w:val="left"/>
            </w:pPr>
            <w:r>
              <w:t xml:space="preserve">Operational Efficiency Audit &amp; Process Redesign</w:t>
            </w:r>
          </w:p>
        </w:tc>
        <w:tc>
          <w:tcPr/>
          <w:p>
            <w:pPr>
              <w:pStyle w:val="Compact"/>
              <w:jc w:val="left"/>
            </w:pPr>
            <w:r>
              <w:t xml:space="preserve">6 Weeks</w:t>
            </w:r>
          </w:p>
        </w:tc>
        <w:tc>
          <w:tcPr/>
          <w:p>
            <w:pPr>
              <w:pStyle w:val="Compact"/>
              <w:jc w:val="left"/>
            </w:pPr>
            <w:r>
              <w:t xml:space="preserve">$12,000</w:t>
            </w:r>
          </w:p>
        </w:tc>
        <w:tc>
          <w:tcPr/>
          <w:p>
            <w:pPr>
              <w:pStyle w:val="Compact"/>
              <w:jc w:val="left"/>
            </w:pPr>
            <w:r>
              <w:t xml:space="preserve">15,600,000</w:t>
            </w:r>
          </w:p>
        </w:tc>
      </w:tr>
      <w:tr>
        <w:tc>
          <w:tcPr/>
          <w:p>
            <w:pPr>
              <w:pStyle w:val="Compact"/>
              <w:jc w:val="left"/>
            </w:pPr>
            <w:r>
              <w:t xml:space="preserve">04</w:t>
            </w:r>
          </w:p>
        </w:tc>
        <w:tc>
          <w:tcPr/>
          <w:p>
            <w:pPr>
              <w:pStyle w:val="Compact"/>
              <w:jc w:val="left"/>
            </w:pPr>
            <w:r>
              <w:t xml:space="preserve">Regulatory Compliance Review &amp; Licensing Support (Iraqi Authorities)</w:t>
            </w:r>
          </w:p>
        </w:tc>
        <w:tc>
          <w:tcPr/>
          <w:p>
            <w:pPr>
              <w:pStyle w:val="Compact"/>
              <w:jc w:val="left"/>
            </w:pPr>
            <w:r>
              <w:t xml:space="preserve">3 Weeks</w:t>
            </w:r>
          </w:p>
        </w:tc>
        <w:tc>
          <w:tcPr/>
          <w:p>
            <w:pPr>
              <w:pStyle w:val="Compact"/>
              <w:jc w:val="left"/>
            </w:pPr>
            <w:r>
              <w:t xml:space="preserve">$5,800</w:t>
            </w:r>
          </w:p>
        </w:tc>
        <w:tc>
          <w:tcPr/>
          <w:p>
            <w:pPr>
              <w:pStyle w:val="Compact"/>
              <w:jc w:val="left"/>
            </w:pPr>
            <w:r>
              <w:t xml:space="preserve">7,540,000</w:t>
            </w:r>
          </w:p>
        </w:tc>
      </w:tr>
      <w:tr>
        <w:tc>
          <w:tcPr/>
          <w:p>
            <w:pPr>
              <w:pStyle w:val="Compact"/>
              <w:jc w:val="left"/>
            </w:pPr>
            <w:r>
              <w:t xml:space="preserve">05</w:t>
            </w:r>
          </w:p>
        </w:tc>
        <w:tc>
          <w:tcPr/>
          <w:p>
            <w:pPr>
              <w:pStyle w:val="Compact"/>
              <w:jc w:val="left"/>
            </w:pPr>
            <w:r>
              <w:t xml:space="preserve">Market Analysis &amp; Competitive Intelligence Report (Baghdad &amp; Iraq)</w:t>
            </w:r>
          </w:p>
        </w:tc>
        <w:tc>
          <w:tcPr/>
          <w:p>
            <w:pPr>
              <w:pStyle w:val="Compact"/>
              <w:jc w:val="left"/>
            </w:pPr>
            <w:r>
              <w:t xml:space="preserve">3 Weeks</w:t>
            </w:r>
          </w:p>
        </w:tc>
        <w:tc>
          <w:tcPr/>
          <w:p>
            <w:pPr>
              <w:pStyle w:val="Compact"/>
              <w:jc w:val="left"/>
            </w:pPr>
            <w:r>
              <w:t xml:space="preserve">$6,500</w:t>
            </w:r>
          </w:p>
        </w:tc>
        <w:tc>
          <w:tcPr/>
          <w:p>
            <w:pPr>
              <w:pStyle w:val="Compact"/>
              <w:jc w:val="left"/>
            </w:pPr>
            <w:r>
              <w:t xml:space="preserve">8,450,000</w:t>
            </w:r>
          </w:p>
        </w:tc>
      </w:tr>
      <w:tr>
        <w:tc>
          <w:tcPr/>
          <w:p>
            <w:pPr>
              <w:pStyle w:val="Compact"/>
              <w:jc w:val="left"/>
            </w:pPr>
            <w:r>
              <w:t xml:space="preserve">06</w:t>
            </w:r>
          </w:p>
        </w:tc>
        <w:tc>
          <w:tcPr/>
          <w:p>
            <w:pPr>
              <w:pStyle w:val="Compact"/>
              <w:jc w:val="left"/>
            </w:pPr>
            <w:r>
              <w:t xml:space="preserve">Organizational Development &amp; Training Program Design</w:t>
            </w:r>
          </w:p>
        </w:tc>
        <w:tc>
          <w:tcPr/>
          <w:p>
            <w:pPr>
              <w:pStyle w:val="Compact"/>
              <w:jc w:val="left"/>
            </w:pPr>
            <w:r>
              <w:t xml:space="preserve">4 Weeks</w:t>
            </w:r>
          </w:p>
        </w:tc>
        <w:tc>
          <w:tcPr/>
          <w:p>
            <w:pPr>
              <w:pStyle w:val="Compact"/>
              <w:jc w:val="left"/>
            </w:pPr>
            <w:r>
              <w:t xml:space="preserve">$7,300</w:t>
            </w:r>
          </w:p>
        </w:tc>
        <w:tc>
          <w:tcPr/>
          <w:p>
            <w:pPr>
              <w:pStyle w:val="Compact"/>
              <w:jc w:val="left"/>
            </w:pPr>
            <w:r>
              <w:t xml:space="preserve">9,490,000</w:t>
            </w:r>
          </w:p>
        </w:tc>
      </w:tr>
      <w:tr>
        <w:tc>
          <w:tcPr/>
          <w:p>
            <w:pPr>
              <w:pStyle w:val="Compact"/>
              <w:jc w:val="left"/>
            </w:pPr>
            <w:r>
              <w:t xml:space="preserve">07</w:t>
            </w:r>
          </w:p>
        </w:tc>
        <w:tc>
          <w:tcPr/>
          <w:p>
            <w:pPr>
              <w:pStyle w:val="Compact"/>
              <w:jc w:val="left"/>
            </w:pPr>
            <w:r>
              <w:t xml:space="preserve">Financial Advisory &amp; Risk Management Framework</w:t>
            </w:r>
          </w:p>
        </w:tc>
        <w:tc>
          <w:tcPr/>
          <w:p>
            <w:pPr>
              <w:pStyle w:val="Compact"/>
              <w:jc w:val="left"/>
            </w:pPr>
            <w:r>
              <w:t xml:space="preserve">3 Weeks</w:t>
            </w:r>
          </w:p>
        </w:tc>
        <w:tc>
          <w:tcPr/>
          <w:p>
            <w:pPr>
              <w:pStyle w:val="Compact"/>
              <w:jc w:val="left"/>
            </w:pPr>
            <w:r>
              <w:t xml:space="preserve">$5,200</w:t>
            </w:r>
          </w:p>
        </w:tc>
        <w:tc>
          <w:tcPr/>
          <w:p>
            <w:pPr>
              <w:pStyle w:val="Compact"/>
              <w:jc w:val="left"/>
            </w:pPr>
            <w:r>
              <w:t xml:space="preserve">6,760,000</w:t>
            </w:r>
          </w:p>
        </w:tc>
      </w:tr>
      <w:tr>
        <w:tc>
          <w:tcPr/>
          <w:p>
            <w:pPr>
              <w:pStyle w:val="Compact"/>
              <w:jc w:val="left"/>
            </w:pPr>
            <w:r>
              <w:t xml:space="preserve">08</w:t>
            </w:r>
          </w:p>
        </w:tc>
        <w:tc>
          <w:tcPr/>
          <w:p>
            <w:pPr>
              <w:pStyle w:val="Compact"/>
              <w:jc w:val="left"/>
            </w:pPr>
            <w:r>
              <w:t xml:space="preserve">Ongoing Advisory Retainer (Monthly Consultation, 6 Months)</w:t>
            </w:r>
          </w:p>
        </w:tc>
        <w:tc>
          <w:tcPr/>
          <w:p>
            <w:pPr>
              <w:pStyle w:val="Compact"/>
              <w:jc w:val="left"/>
            </w:pPr>
            <w:r>
              <w:t xml:space="preserve">6 Months</w:t>
            </w:r>
          </w:p>
        </w:tc>
        <w:tc>
          <w:tcPr/>
          <w:p>
            <w:pPr>
              <w:pStyle w:val="Compact"/>
              <w:jc w:val="left"/>
            </w:pPr>
            <w:r>
              <w:t xml:space="preserve">$9,000</w:t>
            </w:r>
          </w:p>
        </w:tc>
        <w:tc>
          <w:tcPr/>
          <w:p>
            <w:pPr>
              <w:pStyle w:val="Compact"/>
              <w:jc w:val="left"/>
            </w:pPr>
            <w:r>
              <w:t xml:space="preserve">11,700,000</w:t>
            </w:r>
          </w:p>
        </w:tc>
      </w:tr>
      <w:tr>
        <w:tc>
          <w:tcPr>
            <w:gridSpan w:val="3"/>
          </w:tcPr>
          <w:p>
            <w:pPr>
              <w:pStyle w:val="Compact"/>
              <w:jc w:val="left"/>
            </w:pPr>
            <w:r>
              <w:rPr>
                <w:bCs/>
                <w:b/>
              </w:rPr>
              <w:t xml:space="preserve">TOTAL ESTIMATED COST</w:t>
            </w:r>
          </w:p>
        </w:tc>
        <w:tc>
          <w:tcPr/>
          <w:p>
            <w:pPr>
              <w:pStyle w:val="Compact"/>
              <w:jc w:val="left"/>
            </w:pPr>
            <w:r>
              <w:rPr>
                <w:bCs/>
                <w:b/>
              </w:rPr>
              <w:t xml:space="preserve">$58,500</w:t>
            </w:r>
          </w:p>
        </w:tc>
        <w:tc>
          <w:tcPr/>
          <w:p>
            <w:pPr>
              <w:pStyle w:val="Compact"/>
              <w:jc w:val="left"/>
            </w:pPr>
            <w:r>
              <w:rPr>
                <w:bCs/>
                <w:b/>
              </w:rPr>
              <w:t xml:space="preserve">76,050,000</w:t>
            </w:r>
          </w:p>
        </w:tc>
      </w:tr>
    </w:tbl>
    <w:p>
      <w:pPr>
        <w:pStyle w:val="BodyText"/>
      </w:pPr>
      <w:r>
        <w:rPr>
          <w:bCs/>
          <w:b/>
        </w:rPr>
        <w:t xml:space="preserve">Note:</w:t>
      </w:r>
      <w:r>
        <w:t xml:space="preserve"> </w:t>
      </w:r>
      <w:r>
        <w:t xml:space="preserve">All costs are exclusive of Iraqi Value Added Tax (VAT) at the prevailing rate of 3%, as mandated by the Iraqi Ministry of Finance. Travel expenses within Baghdad and to nearby governorates (Babil, Diyala, Anbar) are included. International travel, if required, will be billed separately at actual cost. Exchange rate applied: 1 USD = 1,300 IQD (Central Bank of Iraq reference rate as of the date of this Quotation Estimate).</w:t>
      </w:r>
    </w:p>
    <w:bookmarkEnd w:id="23"/>
    <w:bookmarkStart w:id="24" w:name="project-timeline"/>
    <w:p>
      <w:pPr>
        <w:pStyle w:val="Heading2"/>
      </w:pPr>
      <w:r>
        <w:t xml:space="preserve">4. Project Timeline</w:t>
      </w:r>
    </w:p>
    <w:p>
      <w:pPr>
        <w:pStyle w:val="FirstParagraph"/>
      </w:pPr>
      <w:r>
        <w:t xml:space="preserve">The total estimated duration of the Business Consultant engagement is approximately</w:t>
      </w:r>
      <w:r>
        <w:t xml:space="preserve"> </w:t>
      </w:r>
      <w:r>
        <w:rPr>
          <w:bCs/>
          <w:b/>
        </w:rPr>
        <w:t xml:space="preserve">26 weeks (6.5 months)</w:t>
      </w:r>
      <w:r>
        <w:t xml:space="preserve">, commencing upon receipt of the initial payment and formal acceptance of this Quotation Estimate. The project will be executed in phases with milestone deliverables presented to the client's management team at the TIDC headquarters in Baghdad. A dedicated project manager will coordinate all activities and ensure alignment with Iraqi business practices and working hours.</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pricing may be subject to revision based on market conditions in Iraq.</w:t>
      </w:r>
    </w:p>
    <w:p>
      <w:pPr>
        <w:numPr>
          <w:ilvl w:val="0"/>
          <w:numId w:val="1002"/>
        </w:numPr>
        <w:pStyle w:val="Compact"/>
      </w:pPr>
      <w:r>
        <w:t xml:space="preserve">Payment terms: 30% advance payment upon contract signing, 40% upon completion of Phase 2 (Strategic Plan &amp; Operational Audit), and 30% upon final delivery and acceptance of all deliverables.</w:t>
      </w:r>
    </w:p>
    <w:p>
      <w:pPr>
        <w:numPr>
          <w:ilvl w:val="0"/>
          <w:numId w:val="1002"/>
        </w:numPr>
        <w:pStyle w:val="Compact"/>
      </w:pPr>
      <w:r>
        <w:t xml:space="preserve">All intellectual property, reports, and strategic documents produced under this engagement shall become the sole property of Tigris Industrial Development Company upon full payment.</w:t>
      </w:r>
    </w:p>
    <w:p>
      <w:pPr>
        <w:numPr>
          <w:ilvl w:val="0"/>
          <w:numId w:val="1002"/>
        </w:numPr>
        <w:pStyle w:val="Compact"/>
      </w:pPr>
      <w:r>
        <w:t xml:space="preserve">The Business Consultant shall maintain strict confidentiality regarding all proprietary information, trade secrets, and financial data of the client, in accordance with Iraqi commercial law and professional ethical standards.</w:t>
      </w:r>
    </w:p>
    <w:p>
      <w:pPr>
        <w:numPr>
          <w:ilvl w:val="0"/>
          <w:numId w:val="1002"/>
        </w:numPr>
        <w:pStyle w:val="Compact"/>
      </w:pPr>
      <w:r>
        <w:t xml:space="preserve">Any changes to the scope of work must be agreed upon in writing by both parties. Additional services beyond the stated scope will be quoted separately.</w:t>
      </w:r>
    </w:p>
    <w:p>
      <w:pPr>
        <w:numPr>
          <w:ilvl w:val="0"/>
          <w:numId w:val="1002"/>
        </w:numPr>
        <w:pStyle w:val="Compact"/>
      </w:pPr>
      <w:r>
        <w:t xml:space="preserve">This engagement is governed by the laws of the Republic of Iraq. Any disputes shall be resolved through arbitration in Baghdad in accordance with the Iraqi Arbitration Law.</w:t>
      </w:r>
    </w:p>
    <w:p>
      <w:pPr>
        <w:numPr>
          <w:ilvl w:val="0"/>
          <w:numId w:val="1002"/>
        </w:numPr>
        <w:pStyle w:val="Compact"/>
      </w:pPr>
      <w:r>
        <w:t xml:space="preserve">The Business Consultant reserves the right to assign qualified sub-consultants for specialized tasks, provided prior written approval is obtained from the client.</w:t>
      </w:r>
    </w:p>
    <w:p>
      <w:pPr>
        <w:numPr>
          <w:ilvl w:val="0"/>
          <w:numId w:val="1002"/>
        </w:numPr>
        <w:pStyle w:val="Compact"/>
      </w:pPr>
      <w:r>
        <w:t xml:space="preserve">Force majeure events, including but not limited to political instability, natural disasters, or government-imposed restrictions in Iraq, may affect project timelines. Both parties shall negotiate in good faith to mitigate delays.</w:t>
      </w:r>
    </w:p>
    <w:p>
      <w:pPr>
        <w:numPr>
          <w:ilvl w:val="0"/>
          <w:numId w:val="1002"/>
        </w:numPr>
        <w:pStyle w:val="Compact"/>
      </w:pPr>
      <w:r>
        <w:t xml:space="preserve">All communications and official correspondence shall be conducted in Arabic and/or English, with English being the primary language of all deliverables unless otherwise specified.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Business Consultant services to be delivered in Baghdad, Iraq.</w:t>
      </w:r>
    </w:p>
    <w:p>
      <w:pPr>
        <w:pStyle w:val="BodyText"/>
      </w:pPr>
      <w:r>
        <w:rPr>
          <w:bCs/>
          <w:b/>
        </w:rPr>
        <w:t xml:space="preserve">For: Al-Rafidain Strategic Advisory LLC</w:t>
      </w:r>
    </w:p>
    <w:p>
      <w:pPr>
        <w:pStyle w:val="BodyText"/>
      </w:pPr>
      <w:r>
        <w:t xml:space="preserve">Business Consultant – Lead Advisor</w:t>
      </w:r>
    </w:p>
    <w:p>
      <w:pPr>
        <w:pStyle w:val="BodyText"/>
      </w:pPr>
      <w:r>
        <w:t xml:space="preserve">Name: Dr. Hassan Al-Rashid</w:t>
      </w:r>
      <w:r>
        <w:br/>
      </w:r>
      <w:r>
        <w:t xml:space="preserve">Signature &amp; Date: _________________________</w:t>
      </w:r>
    </w:p>
    <w:p>
      <w:pPr>
        <w:pStyle w:val="BodyText"/>
      </w:pPr>
      <w:r>
        <w:rPr>
          <w:bCs/>
          <w:b/>
        </w:rPr>
        <w:t xml:space="preserve">For: Tigris Industrial Development Company</w:t>
      </w:r>
    </w:p>
    <w:p>
      <w:pPr>
        <w:pStyle w:val="BodyText"/>
      </w:pPr>
      <w:r>
        <w:t xml:space="preserve">Authorized Representative</w:t>
      </w:r>
    </w:p>
    <w:p>
      <w:pPr>
        <w:pStyle w:val="BodyText"/>
      </w:pPr>
      <w:r>
        <w:t xml:space="preserve">Name: Mr. Ahmed Al-Juburi</w:t>
      </w:r>
      <w:r>
        <w:br/>
      </w:r>
      <w:r>
        <w:t xml:space="preserve">Signature &amp; Date: _________________________</w:t>
      </w:r>
    </w:p>
    <w:p>
      <w:pPr>
        <w:pStyle w:val="BodyText"/>
      </w:pPr>
      <w:r>
        <w:t xml:space="preserve">© 2025 Al-Rafidain Strategic Advisory LLC | Al-Mansour District, Baghdad, Iraq | Commercial Registration No: IQ-BAG-2019-44821</w:t>
      </w:r>
      <w:r>
        <w:br/>
      </w:r>
      <w:r>
        <w:t xml:space="preserve">This Quotation Estimate is a confidential document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Iraq Baghdad</dc:title>
  <dc:creator/>
  <dc:language>en</dc:language>
  <cp:keywords/>
  <dcterms:created xsi:type="dcterms:W3CDTF">2026-10-10T04:13:32Z</dcterms:created>
  <dcterms:modified xsi:type="dcterms:W3CDTF">2026-10-10T04:13:32Z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