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Business Consultant Services — Israel Tel Aviv</w:t>
      </w:r>
    </w:p>
    <w:bookmarkEnd w:id="20"/>
    <w:p>
      <w:pPr>
        <w:pStyle w:val="BodyText"/>
      </w:pPr>
      <w:r>
        <w:rPr>
          <w:bCs/>
          <w:b/>
        </w:rPr>
        <w:t xml:space="preserve">Prepared By:</w:t>
      </w:r>
      <w:r>
        <w:br/>
      </w:r>
      <w:r>
        <w:t xml:space="preserve">Levant Strategic Advisory Group Ltd.</w:t>
      </w:r>
      <w:r>
        <w:br/>
      </w:r>
      <w:r>
        <w:t xml:space="preserve">42 Dizengoff Street, Floor 7</w:t>
      </w:r>
      <w:r>
        <w:br/>
      </w:r>
      <w:r>
        <w:t xml:space="preserve">Tel Aviv, 6333101, Israel</w:t>
      </w:r>
      <w:r>
        <w:br/>
      </w:r>
      <w:r>
        <w:t xml:space="preserve">Tel: +972-3-512-8840</w:t>
      </w:r>
      <w:r>
        <w:br/>
      </w:r>
      <w:r>
        <w:t xml:space="preserve">Email: quotes@levantstrategic.co.il</w:t>
      </w:r>
      <w:r>
        <w:br/>
      </w:r>
      <w:r>
        <w:t xml:space="preserve">VAT No.: 51-804-221-77</w:t>
      </w:r>
    </w:p>
    <w:p>
      <w:pPr>
        <w:pStyle w:val="BodyText"/>
      </w:pPr>
      <w:r>
        <w:rPr>
          <w:bCs/>
          <w:b/>
        </w:rPr>
        <w:t xml:space="preserve">Prepared For:</w:t>
      </w:r>
      <w:r>
        <w:br/>
      </w:r>
      <w:r>
        <w:t xml:space="preserve">[Client Company Name]</w:t>
      </w:r>
      <w:r>
        <w:br/>
      </w:r>
      <w:r>
        <w:t xml:space="preserve">[Client Address]</w:t>
      </w:r>
      <w:r>
        <w:br/>
      </w:r>
      <w:r>
        <w:t xml:space="preserve">Tel Aviv, Israel</w:t>
      </w:r>
      <w:r>
        <w:br/>
      </w:r>
      <w:r>
        <w:t xml:space="preserve">Contact: [Client Contact Person]</w:t>
      </w:r>
      <w:r>
        <w:br/>
      </w:r>
      <w:r>
        <w:t xml:space="preserve">Email: [client@email.com]</w:t>
      </w:r>
    </w:p>
    <w:p>
      <w:pPr>
        <w:pStyle w:val="BodyText"/>
      </w:pPr>
      <w:r>
        <w:t xml:space="preserve">Quotation No.:</w:t>
      </w:r>
      <w:r>
        <w:t xml:space="preserve"> </w:t>
      </w:r>
      <w:r>
        <w:t xml:space="preserve">QTE-2025-TLV-0472</w:t>
      </w:r>
      <w:r>
        <w:br/>
      </w:r>
      <w:r>
        <w:t xml:space="preserve">Date Issued:</w:t>
      </w:r>
      <w:r>
        <w:t xml:space="preserve"> </w:t>
      </w:r>
      <w:r>
        <w:t xml:space="preserve">15 June 2025</w:t>
      </w:r>
      <w:r>
        <w:br/>
      </w:r>
      <w:r>
        <w:t xml:space="preserve">Valid Until:</w:t>
      </w:r>
      <w:r>
        <w:t xml:space="preserve"> </w:t>
      </w:r>
      <w:r>
        <w:t xml:space="preserve">15 July 2025</w:t>
      </w:r>
    </w:p>
    <w:p>
      <w:pPr>
        <w:pStyle w:val="BodyText"/>
      </w:pPr>
      <w:r>
        <w:t xml:space="preserve">Project Reference:</w:t>
      </w:r>
      <w:r>
        <w:t xml:space="preserve"> </w:t>
      </w:r>
      <w:r>
        <w:t xml:space="preserve">BIZ-CONS-TLV-2025-019</w:t>
      </w:r>
      <w:r>
        <w:br/>
      </w:r>
      <w:r>
        <w:t xml:space="preserve">Service Location:</w:t>
      </w:r>
      <w:r>
        <w:t xml:space="preserve"> </w:t>
      </w:r>
      <w:r>
        <w:t xml:space="preserve">Israel Tel Aviv</w:t>
      </w:r>
      <w:r>
        <w:br/>
      </w:r>
      <w:r>
        <w:t xml:space="preserve">Currency:</w:t>
      </w:r>
      <w:r>
        <w:t xml:space="preserve"> </w:t>
      </w:r>
      <w:r>
        <w:t xml:space="preserve">Israeli New Shekel (ILS)</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Levant Strategic Advisory Group Ltd. to provide a comprehensive and transparent breakdown of professional</w:t>
      </w:r>
      <w:r>
        <w:t xml:space="preserve"> </w:t>
      </w:r>
      <w:r>
        <w:t xml:space="preserve">Business Consultant</w:t>
      </w:r>
      <w:r>
        <w:t xml:space="preserve"> </w:t>
      </w:r>
      <w:r>
        <w:t xml:space="preserve">services to be delivered within the metropolitan area of</w:t>
      </w:r>
      <w:r>
        <w:t xml:space="preserve"> </w:t>
      </w:r>
      <w:r>
        <w:t xml:space="preserve">Israel Tel Aviv</w:t>
      </w:r>
      <w:r>
        <w:t xml:space="preserve">. Our firm has been operating in the Tel Aviv business ecosystem for over fourteen years, and this Quotation Estimate reflects our deep understanding of the local regulatory environment, market dynamics, and the specific operational challenges faced by enterprises headquartered in Israel Tel Aviv. The scope of engagement outlined herein is designed to deliver measurable strategic value to the client while adhering to all applicable Israeli commercial and tax regulations.</w:t>
      </w:r>
    </w:p>
    <w:bookmarkEnd w:id="21"/>
    <w:bookmarkStart w:id="22" w:name="scope-of-business-consultant-services"/>
    <w:p>
      <w:pPr>
        <w:pStyle w:val="Heading2"/>
      </w:pPr>
      <w:r>
        <w:t xml:space="preserve">2. Scope of Business Consultant Services</w:t>
      </w:r>
    </w:p>
    <w:p>
      <w:pPr>
        <w:pStyle w:val="FirstParagraph"/>
      </w:pPr>
      <w:r>
        <w:t xml:space="preserve">The</w:t>
      </w:r>
      <w:r>
        <w:t xml:space="preserve"> </w:t>
      </w:r>
      <w:r>
        <w:t xml:space="preserve">Business Consultant</w:t>
      </w:r>
      <w:r>
        <w:t xml:space="preserve"> </w:t>
      </w:r>
      <w:r>
        <w:t xml:space="preserve">engagement proposed in this Quotation Estimate encompasses the following core service areas, all to be executed with the client's primary offices located in Israel Tel Aviv:</w:t>
      </w:r>
    </w:p>
    <w:p>
      <w:pPr>
        <w:numPr>
          <w:ilvl w:val="0"/>
          <w:numId w:val="1001"/>
        </w:numPr>
        <w:pStyle w:val="Compact"/>
      </w:pPr>
      <w:r>
        <w:rPr>
          <w:bCs/>
          <w:b/>
        </w:rPr>
        <w:t xml:space="preserve">Strategic Business Planning:</w:t>
      </w:r>
      <w:r>
        <w:t xml:space="preserve"> </w:t>
      </w:r>
      <w:r>
        <w:t xml:space="preserve">Development of a three-year strategic roadmap aligned with the competitive landscape of the Tel Aviv technology and services sectors.</w:t>
      </w:r>
    </w:p>
    <w:p>
      <w:pPr>
        <w:numPr>
          <w:ilvl w:val="0"/>
          <w:numId w:val="1001"/>
        </w:numPr>
        <w:pStyle w:val="Compact"/>
      </w:pPr>
      <w:r>
        <w:rPr>
          <w:bCs/>
          <w:b/>
        </w:rPr>
        <w:t xml:space="preserve">Operational Efficiency Audit:</w:t>
      </w:r>
      <w:r>
        <w:t xml:space="preserve"> </w:t>
      </w:r>
      <w:r>
        <w:t xml:space="preserve">Comprehensive review of existing workflows, supply chain processes, and internal governance structures within the client's Israel Tel Aviv facilities.</w:t>
      </w:r>
    </w:p>
    <w:p>
      <w:pPr>
        <w:numPr>
          <w:ilvl w:val="0"/>
          <w:numId w:val="1001"/>
        </w:numPr>
        <w:pStyle w:val="Compact"/>
      </w:pPr>
      <w:r>
        <w:rPr>
          <w:bCs/>
          <w:b/>
        </w:rPr>
        <w:t xml:space="preserve">Market Entry &amp; Expansion Advisory:</w:t>
      </w:r>
      <w:r>
        <w:t xml:space="preserve"> </w:t>
      </w:r>
      <w:r>
        <w:t xml:space="preserve">Guidance on scaling operations within the broader Israeli market and identifying cross-border opportunities in the MENA region.</w:t>
      </w:r>
    </w:p>
    <w:p>
      <w:pPr>
        <w:numPr>
          <w:ilvl w:val="0"/>
          <w:numId w:val="1001"/>
        </w:numPr>
        <w:pStyle w:val="Compact"/>
      </w:pPr>
      <w:r>
        <w:rPr>
          <w:bCs/>
          <w:b/>
        </w:rPr>
        <w:t xml:space="preserve">Regulatory &amp; Compliance Consulting:</w:t>
      </w:r>
      <w:r>
        <w:t xml:space="preserve"> </w:t>
      </w:r>
      <w:r>
        <w:t xml:space="preserve">Ensuring full alignment with Israeli Companies Law, tax obligations under the Israel Tax Authority, and sector-specific regulatory requirements applicable in Tel Aviv.</w:t>
      </w:r>
    </w:p>
    <w:p>
      <w:pPr>
        <w:numPr>
          <w:ilvl w:val="0"/>
          <w:numId w:val="1001"/>
        </w:numPr>
        <w:pStyle w:val="Compact"/>
      </w:pPr>
      <w:r>
        <w:rPr>
          <w:bCs/>
          <w:b/>
        </w:rPr>
        <w:t xml:space="preserve">Organizational Development:</w:t>
      </w:r>
      <w:r>
        <w:t xml:space="preserve"> </w:t>
      </w:r>
      <w:r>
        <w:t xml:space="preserve">Leadership assessment, talent acquisition strategy, and performance management framework design tailored to the Israel Tel Aviv workforce.</w:t>
      </w:r>
    </w:p>
    <w:p>
      <w:pPr>
        <w:numPr>
          <w:ilvl w:val="0"/>
          <w:numId w:val="1001"/>
        </w:numPr>
        <w:pStyle w:val="Compact"/>
      </w:pPr>
      <w:r>
        <w:rPr>
          <w:bCs/>
          <w:b/>
        </w:rPr>
        <w:t xml:space="preserve">Financial Modeling &amp; Forecasting:</w:t>
      </w:r>
      <w:r>
        <w:t xml:space="preserve"> </w:t>
      </w:r>
      <w:r>
        <w:t xml:space="preserve">Construction of detailed financial projections, cash-flow models, and investment return analyses to support board-level decision-making.</w:t>
      </w:r>
    </w:p>
    <w:bookmarkEnd w:id="22"/>
    <w:bookmarkStart w:id="23" w:name="detailed-quotation-estimate-breakdown"/>
    <w:p>
      <w:pPr>
        <w:pStyle w:val="Heading2"/>
      </w:pPr>
      <w:r>
        <w:t xml:space="preserve">3. Detailed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Line Item</w:t>
            </w:r>
          </w:p>
        </w:tc>
        <w:tc>
          <w:tcPr/>
          <w:p>
            <w:pPr>
              <w:pStyle w:val="Compact"/>
              <w:jc w:val="left"/>
            </w:pPr>
            <w:r>
              <w:t xml:space="preserve">Duration</w:t>
            </w:r>
          </w:p>
        </w:tc>
        <w:tc>
          <w:tcPr/>
          <w:p>
            <w:pPr>
              <w:pStyle w:val="Compact"/>
              <w:jc w:val="left"/>
            </w:pPr>
            <w:r>
              <w:t xml:space="preserve">Rate (ILS)</w:t>
            </w:r>
          </w:p>
        </w:tc>
        <w:tc>
          <w:tcPr/>
          <w:p>
            <w:pPr>
              <w:pStyle w:val="Compact"/>
              <w:jc w:val="left"/>
            </w:pPr>
            <w:r>
              <w:t xml:space="preserve">Quantity</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Strategic Business Planning &amp; Roadmap Development</w:t>
            </w:r>
          </w:p>
        </w:tc>
        <w:tc>
          <w:tcPr/>
          <w:p>
            <w:pPr>
              <w:pStyle w:val="Compact"/>
              <w:jc w:val="left"/>
            </w:pPr>
            <w:r>
              <w:t xml:space="preserve">6 weeks</w:t>
            </w:r>
          </w:p>
        </w:tc>
        <w:tc>
          <w:tcPr/>
          <w:p>
            <w:pPr>
              <w:pStyle w:val="Compact"/>
              <w:jc w:val="left"/>
            </w:pPr>
            <w:r>
              <w:t xml:space="preserve">4,500 / hr</w:t>
            </w:r>
          </w:p>
        </w:tc>
        <w:tc>
          <w:tcPr/>
          <w:p>
            <w:pPr>
              <w:pStyle w:val="Compact"/>
              <w:jc w:val="left"/>
            </w:pPr>
            <w:r>
              <w:t xml:space="preserve">120 hrs</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Operational Efficiency Audit (Israel Tel Aviv sites)</w:t>
            </w:r>
          </w:p>
        </w:tc>
        <w:tc>
          <w:tcPr/>
          <w:p>
            <w:pPr>
              <w:pStyle w:val="Compact"/>
              <w:jc w:val="left"/>
            </w:pPr>
            <w:r>
              <w:t xml:space="preserve">4 weeks</w:t>
            </w:r>
          </w:p>
        </w:tc>
        <w:tc>
          <w:tcPr/>
          <w:p>
            <w:pPr>
              <w:pStyle w:val="Compact"/>
              <w:jc w:val="left"/>
            </w:pPr>
            <w:r>
              <w:t xml:space="preserve">3,800 / hr</w:t>
            </w:r>
          </w:p>
        </w:tc>
        <w:tc>
          <w:tcPr/>
          <w:p>
            <w:pPr>
              <w:pStyle w:val="Compact"/>
              <w:jc w:val="left"/>
            </w:pPr>
            <w:r>
              <w:t xml:space="preserve">80 hrs</w:t>
            </w:r>
          </w:p>
        </w:tc>
        <w:tc>
          <w:tcPr/>
          <w:p>
            <w:pPr>
              <w:pStyle w:val="Compact"/>
              <w:jc w:val="left"/>
            </w:pPr>
            <w:r>
              <w:t xml:space="preserve">304,000</w:t>
            </w:r>
          </w:p>
        </w:tc>
      </w:tr>
      <w:tr>
        <w:tc>
          <w:tcPr/>
          <w:p>
            <w:pPr>
              <w:pStyle w:val="Compact"/>
              <w:jc w:val="left"/>
            </w:pPr>
            <w:r>
              <w:t xml:space="preserve">3</w:t>
            </w:r>
          </w:p>
        </w:tc>
        <w:tc>
          <w:tcPr/>
          <w:p>
            <w:pPr>
              <w:pStyle w:val="Compact"/>
              <w:jc w:val="left"/>
            </w:pPr>
            <w:r>
              <w:t xml:space="preserve">Market Entry &amp; Expansion Advisory</w:t>
            </w:r>
          </w:p>
        </w:tc>
        <w:tc>
          <w:tcPr/>
          <w:p>
            <w:pPr>
              <w:pStyle w:val="Compact"/>
              <w:jc w:val="left"/>
            </w:pPr>
            <w:r>
              <w:t xml:space="preserve">3 weeks</w:t>
            </w:r>
          </w:p>
        </w:tc>
        <w:tc>
          <w:tcPr/>
          <w:p>
            <w:pPr>
              <w:pStyle w:val="Compact"/>
              <w:jc w:val="left"/>
            </w:pPr>
            <w:r>
              <w:t xml:space="preserve">4,200 / hr</w:t>
            </w:r>
          </w:p>
        </w:tc>
        <w:tc>
          <w:tcPr/>
          <w:p>
            <w:pPr>
              <w:pStyle w:val="Compact"/>
              <w:jc w:val="left"/>
            </w:pPr>
            <w:r>
              <w:t xml:space="preserve">60 hrs</w:t>
            </w:r>
          </w:p>
        </w:tc>
        <w:tc>
          <w:tcPr/>
          <w:p>
            <w:pPr>
              <w:pStyle w:val="Compact"/>
              <w:jc w:val="left"/>
            </w:pPr>
            <w:r>
              <w:t xml:space="preserve">252,000</w:t>
            </w:r>
          </w:p>
        </w:tc>
      </w:tr>
      <w:tr>
        <w:tc>
          <w:tcPr/>
          <w:p>
            <w:pPr>
              <w:pStyle w:val="Compact"/>
              <w:jc w:val="left"/>
            </w:pPr>
            <w:r>
              <w:t xml:space="preserve">4</w:t>
            </w:r>
          </w:p>
        </w:tc>
        <w:tc>
          <w:tcPr/>
          <w:p>
            <w:pPr>
              <w:pStyle w:val="Compact"/>
              <w:jc w:val="left"/>
            </w:pPr>
            <w:r>
              <w:t xml:space="preserve">Regulatory &amp; Compliance Consulting</w:t>
            </w:r>
          </w:p>
        </w:tc>
        <w:tc>
          <w:tcPr/>
          <w:p>
            <w:pPr>
              <w:pStyle w:val="Compact"/>
              <w:jc w:val="left"/>
            </w:pPr>
            <w:r>
              <w:t xml:space="preserve">5 weeks</w:t>
            </w:r>
          </w:p>
        </w:tc>
        <w:tc>
          <w:tcPr/>
          <w:p>
            <w:pPr>
              <w:pStyle w:val="Compact"/>
              <w:jc w:val="left"/>
            </w:pPr>
            <w:r>
              <w:t xml:space="preserve">3,500 / hr</w:t>
            </w:r>
          </w:p>
        </w:tc>
        <w:tc>
          <w:tcPr/>
          <w:p>
            <w:pPr>
              <w:pStyle w:val="Compact"/>
              <w:jc w:val="left"/>
            </w:pPr>
            <w:r>
              <w:t xml:space="preserve">100 hrs</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Organizational Development &amp; Leadership Assessment</w:t>
            </w:r>
          </w:p>
        </w:tc>
        <w:tc>
          <w:tcPr/>
          <w:p>
            <w:pPr>
              <w:pStyle w:val="Compact"/>
              <w:jc w:val="left"/>
            </w:pPr>
            <w:r>
              <w:t xml:space="preserve">4 weeks</w:t>
            </w:r>
          </w:p>
        </w:tc>
        <w:tc>
          <w:tcPr/>
          <w:p>
            <w:pPr>
              <w:pStyle w:val="Compact"/>
              <w:jc w:val="left"/>
            </w:pPr>
            <w:r>
              <w:t xml:space="preserve">3,900 / hr</w:t>
            </w:r>
          </w:p>
        </w:tc>
        <w:tc>
          <w:tcPr/>
          <w:p>
            <w:pPr>
              <w:pStyle w:val="Compact"/>
              <w:jc w:val="left"/>
            </w:pPr>
            <w:r>
              <w:t xml:space="preserve">72 hrs</w:t>
            </w:r>
          </w:p>
        </w:tc>
        <w:tc>
          <w:tcPr/>
          <w:p>
            <w:pPr>
              <w:pStyle w:val="Compact"/>
              <w:jc w:val="left"/>
            </w:pPr>
            <w:r>
              <w:t xml:space="preserve">280,800</w:t>
            </w:r>
          </w:p>
        </w:tc>
      </w:tr>
      <w:tr>
        <w:tc>
          <w:tcPr/>
          <w:p>
            <w:pPr>
              <w:pStyle w:val="Compact"/>
              <w:jc w:val="left"/>
            </w:pPr>
            <w:r>
              <w:t xml:space="preserve">6</w:t>
            </w:r>
          </w:p>
        </w:tc>
        <w:tc>
          <w:tcPr/>
          <w:p>
            <w:pPr>
              <w:pStyle w:val="Compact"/>
              <w:jc w:val="left"/>
            </w:pPr>
            <w:r>
              <w:t xml:space="preserve">Financial Modeling &amp; Board Presentation</w:t>
            </w:r>
          </w:p>
        </w:tc>
        <w:tc>
          <w:tcPr/>
          <w:p>
            <w:pPr>
              <w:pStyle w:val="Compact"/>
              <w:jc w:val="left"/>
            </w:pPr>
            <w:r>
              <w:t xml:space="preserve">3 weeks</w:t>
            </w:r>
          </w:p>
        </w:tc>
        <w:tc>
          <w:tcPr/>
          <w:p>
            <w:pPr>
              <w:pStyle w:val="Compact"/>
              <w:jc w:val="left"/>
            </w:pPr>
            <w:r>
              <w:t xml:space="preserve">4,500 / hr</w:t>
            </w:r>
          </w:p>
        </w:tc>
        <w:tc>
          <w:tcPr/>
          <w:p>
            <w:pPr>
              <w:pStyle w:val="Compact"/>
              <w:jc w:val="left"/>
            </w:pPr>
            <w:r>
              <w:t xml:space="preserve">54 hrs</w:t>
            </w:r>
          </w:p>
        </w:tc>
        <w:tc>
          <w:tcPr/>
          <w:p>
            <w:pPr>
              <w:pStyle w:val="Compact"/>
              <w:jc w:val="left"/>
            </w:pPr>
            <w:r>
              <w:t xml:space="preserve">243,000</w:t>
            </w:r>
          </w:p>
        </w:tc>
      </w:tr>
      <w:tr>
        <w:tc>
          <w:tcPr/>
          <w:p>
            <w:pPr>
              <w:pStyle w:val="Compact"/>
              <w:jc w:val="left"/>
            </w:pPr>
            <w:r>
              <w:t xml:space="preserve">7</w:t>
            </w:r>
          </w:p>
        </w:tc>
        <w:tc>
          <w:tcPr/>
          <w:p>
            <w:pPr>
              <w:pStyle w:val="Compact"/>
              <w:jc w:val="left"/>
            </w:pPr>
            <w:r>
              <w:t xml:space="preserve">On-site Travel &amp; Logistics within Israel Tel Aviv</w:t>
            </w:r>
          </w:p>
        </w:tc>
        <w:tc>
          <w:tcPr/>
          <w:p>
            <w:pPr>
              <w:pStyle w:val="Compact"/>
              <w:jc w:val="left"/>
            </w:pPr>
            <w:r>
              <w:t xml:space="preserve">25 weeks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Project Management &amp; Client Liaison (dedicated)</w:t>
            </w:r>
          </w:p>
        </w:tc>
        <w:tc>
          <w:tcPr/>
          <w:p>
            <w:pPr>
              <w:pStyle w:val="Compact"/>
              <w:jc w:val="left"/>
            </w:pPr>
            <w:r>
              <w:t xml:space="preserve">25 weeks</w:t>
            </w:r>
          </w:p>
        </w:tc>
        <w:tc>
          <w:tcPr/>
          <w:p>
            <w:pPr>
              <w:pStyle w:val="Compact"/>
              <w:jc w:val="left"/>
            </w:pPr>
            <w:r>
              <w:t xml:space="preserve">2,800 / hr</w:t>
            </w:r>
          </w:p>
        </w:tc>
        <w:tc>
          <w:tcPr/>
          <w:p>
            <w:pPr>
              <w:pStyle w:val="Compact"/>
              <w:jc w:val="left"/>
            </w:pPr>
            <w:r>
              <w:t xml:space="preserve">125 hrs</w:t>
            </w:r>
          </w:p>
        </w:tc>
        <w:tc>
          <w:tcPr/>
          <w:p>
            <w:pPr>
              <w:pStyle w:val="Compact"/>
              <w:jc w:val="left"/>
            </w:pPr>
            <w:r>
              <w:t xml:space="preserve">350,000</w:t>
            </w:r>
          </w:p>
        </w:tc>
      </w:tr>
      <w:tr>
        <w:tc>
          <w:tcPr>
            <w:gridSpan w:val="5"/>
          </w:tcPr>
          <w:p>
            <w:pPr>
              <w:pStyle w:val="Compact"/>
              <w:jc w:val="right"/>
            </w:pPr>
            <w:r>
              <w:t xml:space="preserve">Subtotal (excl. VAT)</w:t>
            </w:r>
          </w:p>
        </w:tc>
        <w:tc>
          <w:tcPr/>
          <w:p>
            <w:pPr>
              <w:pStyle w:val="Compact"/>
              <w:jc w:val="left"/>
            </w:pPr>
            <w:r>
              <w:t xml:space="preserve">2,364,800</w:t>
            </w:r>
          </w:p>
        </w:tc>
      </w:tr>
      <w:tr>
        <w:tc>
          <w:tcPr>
            <w:gridSpan w:val="5"/>
          </w:tcPr>
          <w:p>
            <w:pPr>
              <w:pStyle w:val="Compact"/>
              <w:jc w:val="right"/>
            </w:pPr>
            <w:r>
              <w:t xml:space="preserve">VAT (18%)</w:t>
            </w:r>
          </w:p>
        </w:tc>
        <w:tc>
          <w:tcPr/>
          <w:p>
            <w:pPr>
              <w:pStyle w:val="Compact"/>
              <w:jc w:val="left"/>
            </w:pPr>
            <w:r>
              <w:t xml:space="preserve">425,664</w:t>
            </w:r>
          </w:p>
        </w:tc>
      </w:tr>
      <w:tr>
        <w:tc>
          <w:tcPr>
            <w:gridSpan w:val="5"/>
          </w:tcPr>
          <w:p>
            <w:pPr>
              <w:pStyle w:val="Compact"/>
              <w:jc w:val="right"/>
            </w:pPr>
            <w:r>
              <w:t xml:space="preserve">TOTAL QUOTATION ESTIMATE (incl. VAT)</w:t>
            </w:r>
          </w:p>
        </w:tc>
        <w:tc>
          <w:tcPr/>
          <w:p>
            <w:pPr>
              <w:pStyle w:val="Compact"/>
              <w:jc w:val="left"/>
            </w:pPr>
            <w:r>
              <w:t xml:space="preserve">2,790,464</w:t>
            </w:r>
          </w:p>
        </w:tc>
      </w:tr>
    </w:tbl>
    <w:p>
      <w:pPr>
        <w:pStyle w:val="BodyText"/>
      </w:pPr>
      <w:r>
        <w:rPr>
          <w:bCs/>
          <w:b/>
        </w:rPr>
        <w:t xml:space="preserve">Note:</w:t>
      </w:r>
      <w:r>
        <w:t xml:space="preserve"> </w:t>
      </w:r>
      <w:r>
        <w:t xml:space="preserve">All rates quoted in this Quotation Estimate are in Israeli New Shekels (ILS) and are inclusive of the Business Consultant's professional expertise, research materials, and standard reporting deliverables. Any additional travel beyond the Israel Tel Aviv metropolitan area (including Ramat Gan, Givatayim, and Herzliya) will be billed at cost with prior written approval.</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shall remain valid for thirty (30) calendar days from the date of issue. After the expiry date, the Business Consultant reserves the right to revise pricing based on market conditions in Israel Tel Aviv.</w:t>
      </w:r>
    </w:p>
    <w:p>
      <w:pPr>
        <w:pStyle w:val="BodyText"/>
      </w:pPr>
      <w:r>
        <w:rPr>
          <w:bCs/>
          <w:b/>
        </w:rPr>
        <w:t xml:space="preserve">4.2 Payment Schedule:</w:t>
      </w:r>
      <w:r>
        <w:t xml:space="preserve"> </w:t>
      </w:r>
      <w:r>
        <w:t xml:space="preserve">Payment shall be made in four (4) equal quarterly installments, due within fourteen (14) days of each invoice date. The first installment is due upon execution of the master service agreement. Late payments shall accrue interest at the rate prescribed by the Israeli Late Payment Law (Hokhachat Ha'Avoda).</w:t>
      </w:r>
    </w:p>
    <w:p>
      <w:pPr>
        <w:pStyle w:val="BodyText"/>
      </w:pPr>
      <w:r>
        <w:rPr>
          <w:bCs/>
          <w:b/>
        </w:rPr>
        <w:t xml:space="preserve">4.3 Confidentiality:</w:t>
      </w:r>
      <w:r>
        <w:t xml:space="preserve"> </w:t>
      </w:r>
      <w:r>
        <w:t xml:space="preserve">All information exchanged during the engagement shall be treated as strictly confidential. The Business Consultant shall comply with the Israeli Privacy Protection Law, 5741-1981, and the client's internal data governance policies.</w:t>
      </w:r>
    </w:p>
    <w:p>
      <w:pPr>
        <w:pStyle w:val="BodyText"/>
      </w:pPr>
      <w:r>
        <w:rPr>
          <w:bCs/>
          <w:b/>
        </w:rPr>
        <w:t xml:space="preserve">4.4 Intellectual Property:</w:t>
      </w:r>
      <w:r>
        <w:t xml:space="preserve"> </w:t>
      </w:r>
      <w:r>
        <w:t xml:space="preserve">All deliverables, reports, models, and strategic documents produced under this Quotation Estimate shall become the sole property of the client upon full payment.</w:t>
      </w:r>
    </w:p>
    <w:p>
      <w:pPr>
        <w:pStyle w:val="BodyText"/>
      </w:pPr>
      <w:r>
        <w:rPr>
          <w:bCs/>
          <w:b/>
        </w:rPr>
        <w:t xml:space="preserve">4.5 Termination:</w:t>
      </w:r>
      <w:r>
        <w:t xml:space="preserve"> </w:t>
      </w:r>
      <w:r>
        <w:t xml:space="preserve">Either party may terminate the engagement with thirty (30) days' written notice. In such an event, the client shall pay for all services rendered up to the termination date as detailed in this Quotation Estimate.</w:t>
      </w:r>
    </w:p>
    <w:p>
      <w:pPr>
        <w:pStyle w:val="BodyText"/>
      </w:pPr>
      <w:r>
        <w:rPr>
          <w:bCs/>
          <w:b/>
        </w:rPr>
        <w:t xml:space="preserve">4.6 Governing Law:</w:t>
      </w:r>
      <w:r>
        <w:t xml:space="preserve"> </w:t>
      </w:r>
      <w:r>
        <w:t xml:space="preserve">This Quotation Estimate and any resulting contract shall be governed by and construed in accordance with the laws of the State of Israel. Any disputes shall be subject to the exclusive jurisdiction of the courts in Tel Aviv, Israel.</w:t>
      </w:r>
    </w:p>
    <w:p>
      <w:pPr>
        <w:pStyle w:val="BodyText"/>
      </w:pPr>
      <w:r>
        <w:rPr>
          <w:bCs/>
          <w:b/>
        </w:rPr>
        <w:t xml:space="preserve">4.7 Force Majeure:</w:t>
      </w:r>
      <w:r>
        <w:t xml:space="preserve"> </w:t>
      </w:r>
      <w:r>
        <w:t xml:space="preserve">Neither party shall be liable for delays caused by events beyond reasonable control, including but not limited to government-mandated closures, natural disasters, or national security directives issued by the State of Israel.</w:t>
      </w:r>
    </w:p>
    <w:bookmarkEnd w:id="24"/>
    <w:bookmarkStart w:id="25" w:name="deliverables-timeline"/>
    <w:p>
      <w:pPr>
        <w:pStyle w:val="Heading2"/>
      </w:pPr>
      <w:r>
        <w:t xml:space="preserve">5. Deliverables &amp; Timeline</w:t>
      </w:r>
    </w:p>
    <w:p>
      <w:pPr>
        <w:pStyle w:val="FirstParagraph"/>
      </w:pPr>
      <w:r>
        <w:t xml:space="preserve">The complete Business Consultant engagement is projected to span approximately twenty-five (25) weeks from the commencement date. Key milestones include: delivery of the Strategic Roadmap (Week 6), Operational Audit Report (Week 10), Market Expansion White Paper (Week 13), Compliance Certification Package (Week 18), and the Final Integrated Business Plan with Financial Models (Week 25). All deliverables will be presented in both Hebrew and English to accommodate the client's Israel Tel Aviv-based leadership team and any international stakeholders.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Levant Strategic Advisory Group Ltd. to commence the</w:t>
      </w:r>
      <w:r>
        <w:t xml:space="preserve"> </w:t>
      </w:r>
      <w:r>
        <w:t xml:space="preserve">Business Consultant</w:t>
      </w:r>
      <w:r>
        <w:t xml:space="preserve"> </w:t>
      </w:r>
      <w:r>
        <w:t xml:space="preserve">engagement as described herein, with all services to be performed in and around</w:t>
      </w:r>
      <w:r>
        <w:t xml:space="preserve"> </w:t>
      </w:r>
      <w:r>
        <w:t xml:space="preserve">Israel Tel Aviv</w:t>
      </w:r>
      <w:r>
        <w:t xml:space="preserve">. This signature constitutes a binding acceptance of all terms, conditions, and pricing outlined in this document.</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Levant Strategic Advisory Group Ltd.:</w:t>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Quotation Estimate document was prepared exclusively for the named client and may not be reproduced or distributed without prior written consent.</w:t>
      </w:r>
      <w:r>
        <w:br/>
      </w:r>
      <w:r>
        <w:t xml:space="preserve">Levant Strategic Advisory Group Ltd. • Tel Aviv, Israel • VAT 51-804-221-77 • Reg. No. 51-804-221-77</w:t>
      </w:r>
      <w:r>
        <w:br/>
      </w:r>
      <w:r>
        <w:t xml:space="preserve">Document Ref: QTE-2025-TLV-0472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Israel Tel Aviv</dc:title>
  <dc:creator/>
  <dc:language>en</dc:language>
  <cp:keywords/>
  <dcterms:created xsi:type="dcterms:W3CDTF">2026-10-10T07:03:05Z</dcterms:created>
  <dcterms:modified xsi:type="dcterms:W3CDTF">2026-10-10T07:03:05Z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