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Business Consultant Services — Italy Milan</w:t>
      </w:r>
    </w:p>
    <w:p>
      <w:pPr>
        <w:pStyle w:val="BodyText"/>
      </w:pPr>
      <w:r>
        <w:t xml:space="preserve">Document Reference: QTE-MIL-2025-0047  |  Validity: 30 Days from Issue Date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QTE-MIL-2025-0047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Provider</w:t>
            </w:r>
          </w:p>
        </w:tc>
        <w:tc>
          <w:tcPr/>
          <w:p>
            <w:pPr>
              <w:pStyle w:val="Compact"/>
              <w:jc w:val="left"/>
            </w:pPr>
            <w:r>
              <w:t xml:space="preserve">Strategic Advisory Partners S.r.l.</w:t>
            </w:r>
          </w:p>
        </w:tc>
        <w:tc>
          <w:tcPr/>
          <w:p>
            <w:pPr>
              <w:pStyle w:val="Compact"/>
              <w:jc w:val="left"/>
            </w:pPr>
            <w:r>
              <w:t xml:space="preserve">VAT Number</w:t>
            </w:r>
          </w:p>
        </w:tc>
        <w:tc>
          <w:tcPr/>
          <w:p>
            <w:pPr>
              <w:pStyle w:val="Compact"/>
              <w:jc w:val="left"/>
            </w:pPr>
            <w:r>
              <w:t xml:space="preserve">IT01234567890</w:t>
            </w:r>
          </w:p>
        </w:tc>
      </w:tr>
      <w:tr>
        <w:tc>
          <w:tcPr/>
          <w:p>
            <w:pPr>
              <w:pStyle w:val="Compact"/>
              <w:jc w:val="left"/>
            </w:pPr>
            <w:r>
              <w:t xml:space="preserve">Registered Office</w:t>
            </w:r>
          </w:p>
        </w:tc>
        <w:tc>
          <w:tcPr/>
          <w:p>
            <w:pPr>
              <w:pStyle w:val="Compact"/>
              <w:jc w:val="left"/>
            </w:pPr>
            <w:r>
              <w:t xml:space="preserve">Via Montenapoleone 22, 20121 Milan, Italy</w:t>
            </w:r>
          </w:p>
        </w:tc>
        <w:tc>
          <w:tcPr/>
          <w:p>
            <w:pPr>
              <w:pStyle w:val="Compact"/>
              <w:jc w:val="left"/>
            </w:pPr>
            <w:r>
              <w:t xml:space="preserve">Contact</w:t>
            </w:r>
          </w:p>
        </w:tc>
        <w:tc>
          <w:tcPr/>
          <w:p>
            <w:pPr>
              <w:pStyle w:val="Compact"/>
              <w:jc w:val="left"/>
            </w:pPr>
            <w:r>
              <w:t xml:space="preserve">info@strategicadvisory.it | +39 02 8765 4321</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Client Address</w:t>
            </w:r>
          </w:p>
        </w:tc>
        <w:tc>
          <w:tcPr/>
          <w:p>
            <w:pPr>
              <w:pStyle w:val="Compact"/>
              <w:jc w:val="left"/>
            </w:pPr>
            <w:r>
              <w:t xml:space="preserve">[Street, City, Italy]</w:t>
            </w:r>
          </w:p>
        </w:tc>
      </w:tr>
      <w:tr>
        <w:tc>
          <w:tcPr/>
          <w:p>
            <w:pPr>
              <w:pStyle w:val="Compact"/>
              <w:jc w:val="left"/>
            </w:pPr>
            <w:r>
              <w:t xml:space="preserve">Project Title</w:t>
            </w:r>
          </w:p>
        </w:tc>
        <w:tc>
          <w:tcPr>
            <w:gridSpan w:val="3"/>
          </w:tcPr>
          <w:p>
            <w:pPr>
              <w:pStyle w:val="Compact"/>
              <w:jc w:val="left"/>
            </w:pPr>
            <w:r>
              <w:t xml:space="preserve">Comprehensive Business Consulting Engagement — Italy Milan Market Operations</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Strategic Advisory Partners S.r.l. to provide a detailed and transparent breakdown of the professional fees, deliverables, and associated costs for the engagement of a senior</w:t>
      </w:r>
      <w:r>
        <w:t xml:space="preserve"> </w:t>
      </w:r>
      <w:r>
        <w:t xml:space="preserve">Business Consultant</w:t>
      </w:r>
      <w:r>
        <w:t xml:space="preserve"> </w:t>
      </w:r>
      <w:r>
        <w:t xml:space="preserve">to support the client's strategic operations within the</w:t>
      </w:r>
      <w:r>
        <w:t xml:space="preserve"> </w:t>
      </w:r>
      <w:r>
        <w:t xml:space="preserve">Italy Milan</w:t>
      </w:r>
      <w:r>
        <w:t xml:space="preserve"> </w:t>
      </w:r>
      <w:r>
        <w:t xml:space="preserve">metropolitan area. This document serves as a binding proposal for the scope of work described herein and is intended to give the client full visibility into the financial commitment required for the consultancy engagement.</w:t>
      </w:r>
    </w:p>
    <w:p>
      <w:pPr>
        <w:pStyle w:val="BodyText"/>
      </w:pPr>
      <w:r>
        <w:t xml:space="preserve">The</w:t>
      </w:r>
      <w:r>
        <w:t xml:space="preserve"> </w:t>
      </w:r>
      <w:r>
        <w:t xml:space="preserve">Business Consultant</w:t>
      </w:r>
      <w:r>
        <w:t xml:space="preserve"> </w:t>
      </w:r>
      <w:r>
        <w:t xml:space="preserve">assigned to this project will operate primarily from our offices in the heart of</w:t>
      </w:r>
      <w:r>
        <w:t xml:space="preserve"> </w:t>
      </w:r>
      <w:r>
        <w:t xml:space="preserve">Italy Milan</w:t>
      </w:r>
      <w:r>
        <w:t xml:space="preserve">, ensuring proximity to the client's operational base, key stakeholders, and the broader commercial ecosystem of Lombardy's capital. All services outlined in this</w:t>
      </w:r>
      <w:r>
        <w:t xml:space="preserve"> </w:t>
      </w:r>
      <w:r>
        <w:t xml:space="preserve">Quotation Estimate</w:t>
      </w:r>
      <w:r>
        <w:t xml:space="preserve"> </w:t>
      </w:r>
      <w:r>
        <w:t xml:space="preserve">are tailored specifically to the regulatory, cultural, and market conditions unique to the</w:t>
      </w:r>
      <w:r>
        <w:t xml:space="preserve"> </w:t>
      </w:r>
      <w:r>
        <w:t xml:space="preserve">Italy Milan</w:t>
      </w:r>
      <w:r>
        <w:t xml:space="preserve"> </w:t>
      </w:r>
      <w:r>
        <w:t xml:space="preserve">business environment.</w:t>
      </w:r>
    </w:p>
    <w:bookmarkEnd w:id="21"/>
    <w:bookmarkStart w:id="22" w:name="scope-of-services"/>
    <w:p>
      <w:pPr>
        <w:pStyle w:val="Heading2"/>
      </w:pPr>
      <w:r>
        <w:t xml:space="preserve">2. Scope of Services</w:t>
      </w:r>
    </w:p>
    <w:p>
      <w:pPr>
        <w:pStyle w:val="FirstParagraph"/>
      </w:pPr>
      <w:r>
        <w:t xml:space="preserve">The</w:t>
      </w:r>
      <w:r>
        <w:t xml:space="preserve"> </w:t>
      </w:r>
      <w:r>
        <w:t xml:space="preserve">Business Consultant</w:t>
      </w:r>
      <w:r>
        <w:t xml:space="preserve"> </w:t>
      </w:r>
      <w:r>
        <w:t xml:space="preserve">will deliver the following services as part of this engagement, all conducted with a primary focus on the</w:t>
      </w:r>
      <w:r>
        <w:t xml:space="preserve"> </w:t>
      </w:r>
      <w:r>
        <w:t xml:space="preserve">Italy Milan</w:t>
      </w:r>
      <w:r>
        <w:t xml:space="preserve"> </w:t>
      </w:r>
      <w:r>
        <w:t xml:space="preserve">market:</w:t>
      </w:r>
    </w:p>
    <w:p>
      <w:pPr>
        <w:numPr>
          <w:ilvl w:val="0"/>
          <w:numId w:val="1001"/>
        </w:numPr>
        <w:pStyle w:val="Compact"/>
      </w:pPr>
      <w:r>
        <w:rPr>
          <w:bCs/>
          <w:b/>
        </w:rPr>
        <w:t xml:space="preserve">Strategic Business Planning:</w:t>
      </w:r>
      <w:r>
        <w:t xml:space="preserve"> </w:t>
      </w:r>
      <w:r>
        <w:t xml:space="preserve">Development of a three-year strategic roadmap aligned with the competitive landscape of</w:t>
      </w:r>
      <w:r>
        <w:t xml:space="preserve"> </w:t>
      </w:r>
      <w:r>
        <w:t xml:space="preserve">Italy Milan</w:t>
      </w:r>
      <w:r>
        <w:t xml:space="preserve">, including market entry analysis, competitor benchmarking, and growth projection modelling specific to the Lombardy region.</w:t>
      </w:r>
    </w:p>
    <w:p>
      <w:pPr>
        <w:numPr>
          <w:ilvl w:val="0"/>
          <w:numId w:val="1001"/>
        </w:numPr>
        <w:pStyle w:val="Compact"/>
      </w:pPr>
      <w:r>
        <w:rPr>
          <w:bCs/>
          <w:b/>
        </w:rPr>
        <w:t xml:space="preserve">Operational Efficiency Review:</w:t>
      </w:r>
      <w:r>
        <w:t xml:space="preserve"> </w:t>
      </w:r>
      <w:r>
        <w:t xml:space="preserve">A comprehensive audit of the client's current operational processes, identifying bottlenecks and recommending optimisation strategies suited to the Italian regulatory framework and the specific dynamics of doing business in</w:t>
      </w:r>
      <w:r>
        <w:t xml:space="preserve"> </w:t>
      </w:r>
      <w:r>
        <w:t xml:space="preserve">Italy Milan</w:t>
      </w:r>
      <w:r>
        <w:t xml:space="preserve">.</w:t>
      </w:r>
    </w:p>
    <w:p>
      <w:pPr>
        <w:numPr>
          <w:ilvl w:val="0"/>
          <w:numId w:val="1001"/>
        </w:numPr>
        <w:pStyle w:val="Compact"/>
      </w:pPr>
      <w:r>
        <w:rPr>
          <w:bCs/>
          <w:b/>
        </w:rPr>
        <w:t xml:space="preserve">Financial Modelling and Forecasting:</w:t>
      </w:r>
      <w:r>
        <w:t xml:space="preserve"> </w:t>
      </w:r>
      <w:r>
        <w:t xml:space="preserve">Construction of detailed financial models incorporating Italian tax structures, VAT obligations, and regional incentives available to enterprises operating in the</w:t>
      </w:r>
      <w:r>
        <w:t xml:space="preserve"> </w:t>
      </w:r>
      <w:r>
        <w:t xml:space="preserve">Italy Milan</w:t>
      </w:r>
      <w:r>
        <w:t xml:space="preserve"> </w:t>
      </w:r>
      <w:r>
        <w:t xml:space="preserve">area.</w:t>
      </w:r>
    </w:p>
    <w:p>
      <w:pPr>
        <w:numPr>
          <w:ilvl w:val="0"/>
          <w:numId w:val="1001"/>
        </w:numPr>
        <w:pStyle w:val="Compact"/>
      </w:pPr>
      <w:r>
        <w:rPr>
          <w:bCs/>
          <w:b/>
        </w:rPr>
        <w:t xml:space="preserve">Stakeholder and Governance Advisory:</w:t>
      </w:r>
      <w:r>
        <w:t xml:space="preserve"> </w:t>
      </w:r>
      <w:r>
        <w:t xml:space="preserve">Guidance on board governance, investor relations, and compliance with Italian corporate law, with particular attention to the reporting standards expected by institutions in</w:t>
      </w:r>
      <w:r>
        <w:t xml:space="preserve"> </w:t>
      </w:r>
      <w:r>
        <w:t xml:space="preserve">Italy Milan</w:t>
      </w:r>
      <w:r>
        <w:t xml:space="preserve">.</w:t>
      </w:r>
    </w:p>
    <w:p>
      <w:pPr>
        <w:numPr>
          <w:ilvl w:val="0"/>
          <w:numId w:val="1001"/>
        </w:numPr>
        <w:pStyle w:val="Compact"/>
      </w:pPr>
      <w:r>
        <w:rPr>
          <w:bCs/>
          <w:b/>
        </w:rPr>
        <w:t xml:space="preserve">Market Intelligence and Networking:</w:t>
      </w:r>
      <w:r>
        <w:t xml:space="preserve"> </w:t>
      </w:r>
      <w:r>
        <w:t xml:space="preserve">Leveraging the</w:t>
      </w:r>
      <w:r>
        <w:t xml:space="preserve"> </w:t>
      </w:r>
      <w:r>
        <w:t xml:space="preserve">Business Consultant</w:t>
      </w:r>
      <w:r>
        <w:t xml:space="preserve">'s established network within the</w:t>
      </w:r>
      <w:r>
        <w:t xml:space="preserve"> </w:t>
      </w:r>
      <w:r>
        <w:t xml:space="preserve">Italy Milan</w:t>
      </w:r>
      <w:r>
        <w:t xml:space="preserve"> </w:t>
      </w:r>
      <w:r>
        <w:t xml:space="preserve">business community to facilitate introductions, partnerships, and access to industry events, trade fairs, and institutional bodies.</w:t>
      </w:r>
    </w:p>
    <w:p>
      <w:pPr>
        <w:numPr>
          <w:ilvl w:val="0"/>
          <w:numId w:val="1001"/>
        </w:numPr>
        <w:pStyle w:val="Compact"/>
      </w:pPr>
      <w:r>
        <w:rPr>
          <w:bCs/>
          <w:b/>
        </w:rPr>
        <w:t xml:space="preserve">Change Management Support:</w:t>
      </w:r>
      <w:r>
        <w:t xml:space="preserve"> </w:t>
      </w:r>
      <w:r>
        <w:t xml:space="preserve">On-site facilitation of organisational change initiatives, including staff training workshops conducted at the client's premises in</w:t>
      </w:r>
      <w:r>
        <w:t xml:space="preserve"> </w:t>
      </w:r>
      <w:r>
        <w:t xml:space="preserve">Italy Milan</w:t>
      </w:r>
      <w:r>
        <w:t xml:space="preserve"> </w:t>
      </w:r>
      <w:r>
        <w:t xml:space="preserve">or at our advisory offices.</w:t>
      </w:r>
    </w:p>
    <w:bookmarkEnd w:id="22"/>
    <w:bookmarkStart w:id="23" w:name="X4b1e0f0322fb777d9738d060434dbab52b1baaf"/>
    <w:p>
      <w:pPr>
        <w:pStyle w:val="Heading2"/>
      </w:pPr>
      <w:r>
        <w:t xml:space="preserve">3. Quotation Estimate — Detailed Pricing Schedule</w:t>
      </w:r>
    </w:p>
    <w:p>
      <w:pPr>
        <w:pStyle w:val="FirstParagraph"/>
      </w:pPr>
      <w:r>
        <w:t xml:space="preserve">The following table constitutes the complete financial breakdown of this</w:t>
      </w:r>
      <w:r>
        <w:t xml:space="preserve"> </w:t>
      </w:r>
      <w:r>
        <w:t xml:space="preserve">Quotation Estimate</w:t>
      </w:r>
      <w:r>
        <w:t xml:space="preserve">. All amounts are expressed in Euros (EUR) and are exclusive of Italian Value Added Tax (VAT) at the standard rate of 22%,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1.1</w:t>
            </w:r>
          </w:p>
        </w:tc>
        <w:tc>
          <w:tcPr/>
          <w:p>
            <w:pPr>
              <w:pStyle w:val="Compact"/>
              <w:jc w:val="left"/>
            </w:pPr>
            <w:r>
              <w:t xml:space="preserve">Strategic Business Planning &amp; Market Analysis (Italy Milan)</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1.2</w:t>
            </w:r>
          </w:p>
        </w:tc>
        <w:tc>
          <w:tcPr/>
          <w:p>
            <w:pPr>
              <w:pStyle w:val="Compact"/>
              <w:jc w:val="left"/>
            </w:pPr>
            <w:r>
              <w:t xml:space="preserve">Operational Efficiency Audit &amp; Recommendations</w:t>
            </w:r>
          </w:p>
        </w:tc>
        <w:tc>
          <w:tcPr/>
          <w:p>
            <w:pPr>
              <w:pStyle w:val="Compact"/>
              <w:jc w:val="left"/>
            </w:pPr>
            <w:r>
              <w:t xml:space="preserve">32 hours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1.3</w:t>
            </w:r>
          </w:p>
        </w:tc>
        <w:tc>
          <w:tcPr/>
          <w:p>
            <w:pPr>
              <w:pStyle w:val="Compact"/>
              <w:jc w:val="left"/>
            </w:pPr>
            <w:r>
              <w:t xml:space="preserve">Financial Modelling &amp; Italian Tax Compliance Review</w:t>
            </w:r>
          </w:p>
        </w:tc>
        <w:tc>
          <w:tcPr/>
          <w:p>
            <w:pPr>
              <w:pStyle w:val="Compact"/>
              <w:jc w:val="left"/>
            </w:pPr>
            <w:r>
              <w:t xml:space="preserve">28 hours</w:t>
            </w:r>
          </w:p>
        </w:tc>
        <w:tc>
          <w:tcPr/>
          <w:p>
            <w:pPr>
              <w:pStyle w:val="Compact"/>
              <w:jc w:val="left"/>
            </w:pPr>
            <w:r>
              <w:t xml:space="preserve">€195.00</w:t>
            </w:r>
          </w:p>
        </w:tc>
        <w:tc>
          <w:tcPr/>
          <w:p>
            <w:pPr>
              <w:pStyle w:val="Compact"/>
              <w:jc w:val="left"/>
            </w:pPr>
            <w:r>
              <w:t xml:space="preserve">€5,460.00</w:t>
            </w:r>
          </w:p>
        </w:tc>
      </w:tr>
      <w:tr>
        <w:tc>
          <w:tcPr/>
          <w:p>
            <w:pPr>
              <w:pStyle w:val="Compact"/>
              <w:jc w:val="left"/>
            </w:pPr>
            <w:r>
              <w:t xml:space="preserve">1.4</w:t>
            </w:r>
          </w:p>
        </w:tc>
        <w:tc>
          <w:tcPr/>
          <w:p>
            <w:pPr>
              <w:pStyle w:val="Compact"/>
              <w:jc w:val="left"/>
            </w:pPr>
            <w:r>
              <w:t xml:space="preserve">Stakeholder Governance Advisory (Italy Milan Context)</w:t>
            </w:r>
          </w:p>
        </w:tc>
        <w:tc>
          <w:tcPr/>
          <w:p>
            <w:pPr>
              <w:pStyle w:val="Compact"/>
              <w:jc w:val="left"/>
            </w:pPr>
            <w:r>
              <w:t xml:space="preserve">20 hours</w:t>
            </w:r>
          </w:p>
        </w:tc>
        <w:tc>
          <w:tcPr/>
          <w:p>
            <w:pPr>
              <w:pStyle w:val="Compact"/>
              <w:jc w:val="left"/>
            </w:pPr>
            <w:r>
              <w:t xml:space="preserve">€195.00</w:t>
            </w:r>
          </w:p>
        </w:tc>
        <w:tc>
          <w:tcPr/>
          <w:p>
            <w:pPr>
              <w:pStyle w:val="Compact"/>
              <w:jc w:val="left"/>
            </w:pPr>
            <w:r>
              <w:t xml:space="preserve">€3,900.00</w:t>
            </w:r>
          </w:p>
        </w:tc>
      </w:tr>
      <w:tr>
        <w:tc>
          <w:tcPr/>
          <w:p>
            <w:pPr>
              <w:pStyle w:val="Compact"/>
              <w:jc w:val="left"/>
            </w:pPr>
            <w:r>
              <w:t xml:space="preserve">1.5</w:t>
            </w:r>
          </w:p>
        </w:tc>
        <w:tc>
          <w:tcPr/>
          <w:p>
            <w:pPr>
              <w:pStyle w:val="Compact"/>
              <w:jc w:val="left"/>
            </w:pPr>
            <w:r>
              <w:t xml:space="preserve">Market Intelligence &amp; Networking Facilitation</w:t>
            </w:r>
          </w:p>
        </w:tc>
        <w:tc>
          <w:tcPr/>
          <w:p>
            <w:pPr>
              <w:pStyle w:val="Compact"/>
              <w:jc w:val="left"/>
            </w:pPr>
            <w:r>
              <w:t xml:space="preserve">16 hours</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1.6</w:t>
            </w:r>
          </w:p>
        </w:tc>
        <w:tc>
          <w:tcPr/>
          <w:p>
            <w:pPr>
              <w:pStyle w:val="Compact"/>
              <w:jc w:val="left"/>
            </w:pPr>
            <w:r>
              <w:t xml:space="preserve">Change Management Workshops (On-site, Milan)</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2.1</w:t>
            </w:r>
          </w:p>
        </w:tc>
        <w:tc>
          <w:tcPr/>
          <w:p>
            <w:pPr>
              <w:pStyle w:val="Compact"/>
              <w:jc w:val="left"/>
            </w:pPr>
            <w:r>
              <w:t xml:space="preserve">Travel &amp; Local Transport within Italy Milan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2.2</w:t>
            </w:r>
          </w:p>
        </w:tc>
        <w:tc>
          <w:tcPr/>
          <w:p>
            <w:pPr>
              <w:pStyle w:val="Compact"/>
              <w:jc w:val="left"/>
            </w:pPr>
            <w:r>
              <w:t xml:space="preserve">Project Management &amp; Reporting Overhead</w:t>
            </w:r>
          </w:p>
        </w:tc>
        <w:tc>
          <w:tcPr/>
          <w:p>
            <w:pPr>
              <w:pStyle w:val="Compact"/>
              <w:jc w:val="left"/>
            </w:pPr>
            <w:r>
              <w:t xml:space="preserve">10% of subtotal</w:t>
            </w:r>
          </w:p>
        </w:tc>
        <w:tc>
          <w:tcPr/>
          <w:p>
            <w:pPr>
              <w:pStyle w:val="Compact"/>
              <w:jc w:val="left"/>
            </w:pPr>
            <w:r>
              <w:t xml:space="preserve">—</w:t>
            </w:r>
          </w:p>
        </w:tc>
        <w:tc>
          <w:tcPr/>
          <w:p>
            <w:pPr>
              <w:pStyle w:val="Compact"/>
              <w:jc w:val="left"/>
            </w:pPr>
            <w:r>
              <w:t xml:space="preserve">€2,908.00</w:t>
            </w:r>
          </w:p>
        </w:tc>
      </w:tr>
      <w:tr>
        <w:tc>
          <w:tcPr>
            <w:gridSpan w:val="4"/>
          </w:tcPr>
          <w:p>
            <w:pPr>
              <w:pStyle w:val="Compact"/>
              <w:jc w:val="right"/>
            </w:pPr>
            <w:r>
              <w:t xml:space="preserve">Total (Excl. VAT 22%)</w:t>
            </w:r>
          </w:p>
        </w:tc>
        <w:tc>
          <w:tcPr/>
          <w:p>
            <w:pPr>
              <w:pStyle w:val="Compact"/>
              <w:jc w:val="left"/>
            </w:pPr>
            <w:r>
              <w:t xml:space="preserve">€32,838.00</w:t>
            </w:r>
          </w:p>
        </w:tc>
      </w:tr>
      <w:tr>
        <w:tc>
          <w:tcPr>
            <w:gridSpan w:val="4"/>
          </w:tcPr>
          <w:p>
            <w:pPr>
              <w:pStyle w:val="Compact"/>
              <w:jc w:val="right"/>
            </w:pPr>
            <w:r>
              <w:t xml:space="preserve">VAT (22%)</w:t>
            </w:r>
          </w:p>
        </w:tc>
        <w:tc>
          <w:tcPr/>
          <w:p>
            <w:pPr>
              <w:pStyle w:val="Compact"/>
              <w:jc w:val="left"/>
            </w:pPr>
            <w:r>
              <w:t xml:space="preserve">€7,224.36</w:t>
            </w:r>
          </w:p>
        </w:tc>
      </w:tr>
      <w:tr>
        <w:tc>
          <w:tcPr>
            <w:gridSpan w:val="4"/>
          </w:tcPr>
          <w:p>
            <w:pPr>
              <w:pStyle w:val="Compact"/>
              <w:jc w:val="right"/>
            </w:pPr>
            <w:r>
              <w:t xml:space="preserve">Grand Total (Incl. VAT)</w:t>
            </w:r>
          </w:p>
        </w:tc>
        <w:tc>
          <w:tcPr/>
          <w:p>
            <w:pPr>
              <w:pStyle w:val="Compact"/>
              <w:jc w:val="left"/>
            </w:pPr>
            <w:r>
              <w:t xml:space="preserve">€40,062.36</w:t>
            </w:r>
          </w:p>
        </w:tc>
      </w:tr>
    </w:tbl>
    <w:bookmarkEnd w:id="23"/>
    <w:bookmarkStart w:id="24" w:name="payment-terms-and-conditions"/>
    <w:p>
      <w:pPr>
        <w:pStyle w:val="Heading2"/>
      </w:pPr>
      <w:r>
        <w:t xml:space="preserve">4. Payment Terms and Conditions</w:t>
      </w:r>
    </w:p>
    <w:p>
      <w:pPr>
        <w:pStyle w:val="FirstParagraph"/>
      </w:pPr>
      <w:r>
        <w:rPr>
          <w:bCs/>
          <w:b/>
        </w:rPr>
        <w:t xml:space="preserve">Payment Schedule:</w:t>
      </w:r>
      <w:r>
        <w:t xml:space="preserve"> </w:t>
      </w:r>
      <w:r>
        <w:t xml:space="preserve">This</w:t>
      </w:r>
      <w:r>
        <w:t xml:space="preserve"> </w:t>
      </w:r>
      <w:r>
        <w:t xml:space="preserve">Quotation Estimate</w:t>
      </w:r>
      <w:r>
        <w:t xml:space="preserve"> </w:t>
      </w:r>
      <w:r>
        <w:t xml:space="preserve">is structured on a milestone-based payment model. 30% of the total fee is due upon contract execution. 40% is payable upon delivery of the Strategic Business Plan and Operational Audit. The remaining 30% is due upon final project sign-off.</w:t>
      </w:r>
    </w:p>
    <w:p>
      <w:pPr>
        <w:pStyle w:val="BodyText"/>
      </w:pPr>
      <w:r>
        <w:rPr>
          <w:bCs/>
          <w:b/>
        </w:rPr>
        <w:t xml:space="preserve">Payment Method:</w:t>
      </w:r>
      <w:r>
        <w:t xml:space="preserve"> </w:t>
      </w:r>
      <w:r>
        <w:t xml:space="preserve">All payments shall be made via bank transfer (bonifico bancario) to the IBAN account of Strategic Advisory Partners S.r.l., Milan, Italy. Invoices will be issued in accordance with Italian electronic invoicing regulations (Fattura Elettronica) via the Sistema di Interscambio (SdI).</w:t>
      </w:r>
    </w:p>
    <w:p>
      <w:pPr>
        <w:pStyle w:val="BodyText"/>
      </w:pPr>
      <w:r>
        <w:rPr>
          <w:bCs/>
          <w:b/>
        </w:rPr>
        <w:t xml:space="preserve">Validity:</w:t>
      </w:r>
      <w:r>
        <w:t xml:space="preserve"> </w:t>
      </w:r>
      <w:r>
        <w:t xml:space="preserve">This</w:t>
      </w:r>
      <w:r>
        <w:t xml:space="preserve"> </w:t>
      </w:r>
      <w:r>
        <w:t xml:space="preserve">Quotation Estimate</w:t>
      </w:r>
      <w:r>
        <w:t xml:space="preserve"> </w:t>
      </w:r>
      <w:r>
        <w:t xml:space="preserve">remains valid for thirty (30) calendar days from the date of issue. Beyond this period, rates and availability of the designated</w:t>
      </w:r>
      <w:r>
        <w:t xml:space="preserve"> </w:t>
      </w:r>
      <w:r>
        <w:t xml:space="preserve">Business Consultant</w:t>
      </w:r>
      <w:r>
        <w:t xml:space="preserve"> </w:t>
      </w:r>
      <w:r>
        <w:t xml:space="preserve">are subject to revision.</w:t>
      </w:r>
    </w:p>
    <w:p>
      <w:pPr>
        <w:pStyle w:val="BodyText"/>
      </w:pPr>
      <w:r>
        <w:rPr>
          <w:bCs/>
          <w:b/>
        </w:rPr>
        <w:t xml:space="preserve">Revisions:</w:t>
      </w:r>
      <w:r>
        <w:t xml:space="preserve"> </w:t>
      </w:r>
      <w:r>
        <w:t xml:space="preserve">Up to two (2) rounds of revisions on deliverables are included. Additional revision cycles will be billed at the applicable hourly rate stated in this</w:t>
      </w:r>
      <w:r>
        <w:t xml:space="preserve"> </w:t>
      </w:r>
      <w:r>
        <w:t xml:space="preserve">Quotation Estimate</w:t>
      </w:r>
      <w:r>
        <w:t xml:space="preserve">.</w:t>
      </w:r>
    </w:p>
    <w:bookmarkEnd w:id="24"/>
    <w:bookmarkStart w:id="25" w:name="consultant-profile-and-qualifications"/>
    <w:p>
      <w:pPr>
        <w:pStyle w:val="Heading2"/>
      </w:pPr>
      <w:r>
        <w:t xml:space="preserve">5. Consultant Profile and Qualifications</w:t>
      </w:r>
    </w:p>
    <w:p>
      <w:pPr>
        <w:pStyle w:val="FirstParagraph"/>
      </w:pPr>
      <w:r>
        <w:t xml:space="preserve">The</w:t>
      </w:r>
      <w:r>
        <w:t xml:space="preserve"> </w:t>
      </w:r>
      <w:r>
        <w:t xml:space="preserve">Business Consultant</w:t>
      </w:r>
      <w:r>
        <w:t xml:space="preserve"> </w:t>
      </w:r>
      <w:r>
        <w:t xml:space="preserve">assigned to this engagement holds over fifteen (15) years of experience in corporate strategy, operational transformation, and financial advisory, with a dedicated focus on the Italian market. The consultant has previously led advisory projects for mid-market and enterprise clients in the</w:t>
      </w:r>
      <w:r>
        <w:t xml:space="preserve"> </w:t>
      </w:r>
      <w:r>
        <w:t xml:space="preserve">Italy Milan</w:t>
      </w:r>
      <w:r>
        <w:t xml:space="preserve"> </w:t>
      </w:r>
      <w:r>
        <w:t xml:space="preserve">financial district, the manufacturing corridor of the Brianza area, and the technology sector concentrated in the city's emerging innovation hubs. Fluency in both English and Italian ensures seamless communication with all stakeholders, regulatory bodies, and institutional partners within</w:t>
      </w:r>
      <w:r>
        <w:t xml:space="preserve"> </w:t>
      </w:r>
      <w:r>
        <w:t xml:space="preserve">Italy Milan</w:t>
      </w:r>
      <w:r>
        <w:t xml:space="preserve">.</w:t>
      </w:r>
    </w:p>
    <w:bookmarkEnd w:id="25"/>
    <w:bookmarkStart w:id="26" w:name="confidentiality-and-data-protection"/>
    <w:p>
      <w:pPr>
        <w:pStyle w:val="Heading2"/>
      </w:pPr>
      <w:r>
        <w:t xml:space="preserve">6. Confidentiality and Data Protection</w:t>
      </w:r>
    </w:p>
    <w:p>
      <w:pPr>
        <w:pStyle w:val="FirstParagraph"/>
      </w:pPr>
      <w:r>
        <w:t xml:space="preserve">All information exchanged during the course of this engagement shall be treated as strictly confidential. The</w:t>
      </w:r>
      <w:r>
        <w:t xml:space="preserve"> </w:t>
      </w:r>
      <w:r>
        <w:t xml:space="preserve">Business Consultant</w:t>
      </w:r>
      <w:r>
        <w:t xml:space="preserve"> </w:t>
      </w:r>
      <w:r>
        <w:t xml:space="preserve">and Strategic Advisory Partners S.r.l. commit to full compliance with the European General Data Protection Regulation (GDPR) and applicable Italian data protection legislation (Codice in materia di protezione dei dati personali, D.Lgs. 196/2003 as amended by D.Lgs. 101/2018). A separate Non-Disclosure Agreement (NDA) will be executed prior to the commencement of any work under this</w:t>
      </w:r>
      <w:r>
        <w:t xml:space="preserve"> </w:t>
      </w:r>
      <w:r>
        <w:t xml:space="preserve">Quotation Estimate</w:t>
      </w:r>
      <w:r>
        <w:t xml:space="preserve">.</w:t>
      </w:r>
    </w:p>
    <w:bookmarkEnd w:id="26"/>
    <w:bookmarkStart w:id="27" w:name="acceptance-and-authorisation"/>
    <w:p>
      <w:pPr>
        <w:pStyle w:val="Heading2"/>
      </w:pPr>
      <w:r>
        <w:t xml:space="preserve">7.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Business Consultant</w:t>
      </w:r>
      <w:r>
        <w:t xml:space="preserve"> </w:t>
      </w:r>
      <w:r>
        <w:t xml:space="preserve">in</w:t>
      </w:r>
      <w:r>
        <w:t xml:space="preserve"> </w:t>
      </w:r>
      <w:r>
        <w:t xml:space="preserve">Italy Milan</w:t>
      </w:r>
      <w:r>
        <w:t xml:space="preserve">. This signature constitutes formal acceptance and authorises Strategic Advisory Partners S.r.l. to commence the project as described.</w:t>
      </w:r>
    </w:p>
    <w:p>
      <w:pPr>
        <w:pStyle w:val="BodyText"/>
      </w:pPr>
      <w:r>
        <w:rPr>
          <w:bCs/>
          <w:b/>
        </w:rPr>
        <w:t xml:space="preserve">For Strategic Advisory Partners S.r.l.</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Strategic Advisory Partners S.r.l. — Via Montenapoleone 22, 20121 Milan, Italy — P.IVA: IT01234567890 — REA: MI-2025-001234</w:t>
      </w:r>
    </w:p>
    <w:p>
      <w:pPr>
        <w:pStyle w:val="BodyText"/>
      </w:pPr>
      <w:r>
        <w:t xml:space="preserve">This Quotation Estimate is a confidential commercial document. Unauthorised reproduction or distribution is prohibited. © 2025 Strategic Advisory Partners S.r.l.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Italy Milan</dc:title>
  <dc:creator/>
  <dc:language>en</dc:language>
  <cp:keywords/>
  <dcterms:created xsi:type="dcterms:W3CDTF">2026-10-10T04:18:14Z</dcterms:created>
  <dcterms:modified xsi:type="dcterms:W3CDTF">2026-10-10T04:18:14Z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