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quotation-estimate"/>
    <w:p>
      <w:pPr>
        <w:pStyle w:val="Heading1"/>
      </w:pPr>
      <w:r>
        <w:t xml:space="preserve">QUOTATION ESTIMATE</w:t>
      </w:r>
    </w:p>
    <w:p>
      <w:pPr>
        <w:pStyle w:val="FirstParagraph"/>
      </w:pPr>
      <w:r>
        <w:t xml:space="preserve">Professional Business Consultant Services — Japan Kyoto Region</w:t>
      </w:r>
    </w:p>
    <w:p>
      <w:pPr>
        <w:pStyle w:val="BodyText"/>
      </w:pPr>
      <w:r>
        <w:t xml:space="preserve">Kyoto Business Advisory Group Co., Ltd. | 506-1, Nakagyo-ku, Kyoto, Japan 604-8001</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KYOTO-BC-2025-0472</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w:t>
            </w:r>
          </w:p>
        </w:tc>
        <w:tc>
          <w:tcPr/>
          <w:p>
            <w:pPr>
              <w:pStyle w:val="Compact"/>
              <w:jc w:val="left"/>
            </w:pPr>
            <w:r>
              <w:t xml:space="preserve">Currency:</w:t>
            </w:r>
          </w:p>
        </w:tc>
        <w:tc>
          <w:tcPr/>
          <w:p>
            <w:pPr>
              <w:pStyle w:val="Compact"/>
              <w:jc w:val="left"/>
            </w:pPr>
            <w:r>
              <w:t xml:space="preserve">Japanese Yen (JPY)</w:t>
            </w:r>
          </w:p>
        </w:tc>
      </w:tr>
      <w:tr>
        <w:tc>
          <w:tcPr/>
          <w:p>
            <w:pPr>
              <w:pStyle w:val="Compact"/>
              <w:jc w:val="left"/>
            </w:pPr>
            <w:r>
              <w:t xml:space="preserve">Prepared For:</w:t>
            </w:r>
          </w:p>
        </w:tc>
        <w:tc>
          <w:tcPr/>
          <w:p>
            <w:pPr>
              <w:pStyle w:val="Compact"/>
              <w:jc w:val="left"/>
            </w:pPr>
            <w:r>
              <w:t xml:space="preserve">Mr. Takashi Yamamoto, CEO, Yamamoto Trading Co., Ltd., 12-34 Gion-machi, Higashiyama-ku, Kyoto, Japan</w:t>
            </w:r>
          </w:p>
        </w:tc>
        <w:tc>
          <w:tcPr/>
          <w:p>
            <w:pPr>
              <w:pStyle w:val="Compact"/>
              <w:jc w:val="left"/>
            </w:pPr>
            <w:r>
              <w:t xml:space="preserve">Prepared By:</w:t>
            </w:r>
          </w:p>
        </w:tc>
        <w:tc>
          <w:tcPr/>
          <w:p>
            <w:pPr>
              <w:pStyle w:val="Compact"/>
              <w:jc w:val="left"/>
            </w:pPr>
            <w:r>
              <w:t xml:space="preserve">Ms. Elena Sato, Senior Business Consultant, Kyoto Business Advisory Group</w:t>
            </w:r>
          </w:p>
        </w:tc>
      </w:tr>
      <w:tr>
        <w:tc>
          <w:tcPr/>
          <w:p>
            <w:pPr>
              <w:pStyle w:val="Compact"/>
              <w:jc w:val="left"/>
            </w:pPr>
            <w:r>
              <w:t xml:space="preserve">Project Location:</w:t>
            </w:r>
          </w:p>
        </w:tc>
        <w:tc>
          <w:tcPr>
            <w:gridSpan w:val="3"/>
          </w:tcPr>
          <w:p>
            <w:pPr>
              <w:pStyle w:val="Compact"/>
              <w:jc w:val="left"/>
            </w:pPr>
            <w:r>
              <w:t xml:space="preserve">Japan Kyoto — Primary office at 506-1 Nakagyo-ku, Kyoto; on-site engagements across Kyoto Prefecture</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Kyoto Business Advisory Group Co., Ltd. to formally outline the professional fees, deliverables, and engagement terms for the services of a dedicated</w:t>
      </w:r>
      <w:r>
        <w:t xml:space="preserve"> </w:t>
      </w:r>
      <w:r>
        <w:t xml:space="preserve">Business Consultant</w:t>
      </w:r>
      <w:r>
        <w:t xml:space="preserve"> </w:t>
      </w:r>
      <w:r>
        <w:t xml:space="preserve">retained to support Yamamoto Trading Co., Ltd. in its strategic expansion and operational restructuring. All services described herein will be delivered within the</w:t>
      </w:r>
      <w:r>
        <w:t xml:space="preserve"> </w:t>
      </w:r>
      <w:r>
        <w:t xml:space="preserve">Japan Kyoto</w:t>
      </w:r>
      <w:r>
        <w:t xml:space="preserve"> </w:t>
      </w:r>
      <w:r>
        <w:t xml:space="preserve">metropolitan area and surrounding prefectural regions, leveraging our deep understanding of the local commercial landscape, regulatory environment, and cultural business practices unique to this historic and economically vibrant region of Japan.</w:t>
      </w:r>
    </w:p>
    <w:p>
      <w:pPr>
        <w:pStyle w:val="BodyText"/>
      </w:pPr>
      <w:r>
        <w:t xml:space="preserve">The</w:t>
      </w:r>
      <w:r>
        <w:t xml:space="preserve"> </w:t>
      </w:r>
      <w:r>
        <w:t xml:space="preserve">Business Consultant</w:t>
      </w:r>
      <w:r>
        <w:t xml:space="preserve"> </w:t>
      </w:r>
      <w:r>
        <w:t xml:space="preserve">engagement is designed to address the client's specific needs in market entry strategy, supply chain optimization, workforce development, and digital transformation, all tailored to the competitive dynamics of the</w:t>
      </w:r>
      <w:r>
        <w:t xml:space="preserve"> </w:t>
      </w:r>
      <w:r>
        <w:t xml:space="preserve">Japan Kyoto</w:t>
      </w:r>
      <w:r>
        <w:t xml:space="preserve"> </w:t>
      </w:r>
      <w:r>
        <w:t xml:space="preserve">business ecosystem.</w:t>
      </w:r>
    </w:p>
    <w:bookmarkEnd w:id="21"/>
    <w:bookmarkStart w:id="22" w:name="detailed-services-and-fee-schedule"/>
    <w:p>
      <w:pPr>
        <w:pStyle w:val="Heading2"/>
      </w:pPr>
      <w:r>
        <w:t xml:space="preserve">2. Detailed Services and Fee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 / Units</w:t>
            </w:r>
          </w:p>
        </w:tc>
        <w:tc>
          <w:tcPr/>
          <w:p>
            <w:pPr>
              <w:pStyle w:val="Compact"/>
              <w:jc w:val="left"/>
            </w:pPr>
            <w:r>
              <w:t xml:space="preserve">Rate (JPY)</w:t>
            </w:r>
          </w:p>
        </w:tc>
        <w:tc>
          <w:tcPr/>
          <w:p>
            <w:pPr>
              <w:pStyle w:val="Compact"/>
              <w:jc w:val="left"/>
            </w:pPr>
            <w:r>
              <w:t xml:space="preserve">Subtotal (JPY)</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Strategic Business Planning &amp; Market Analysis for Japan Kyoto region</w:t>
            </w:r>
          </w:p>
        </w:tc>
        <w:tc>
          <w:tcPr/>
          <w:p>
            <w:pPr>
              <w:pStyle w:val="Compact"/>
              <w:jc w:val="left"/>
            </w:pPr>
            <w:r>
              <w:t xml:space="preserve">40 hours</w:t>
            </w:r>
          </w:p>
        </w:tc>
        <w:tc>
          <w:tcPr/>
          <w:p>
            <w:pPr>
              <w:pStyle w:val="Compact"/>
              <w:jc w:val="left"/>
            </w:pPr>
            <w:r>
              <w:t xml:space="preserve">¥25,000 / hr</w:t>
            </w:r>
          </w:p>
        </w:tc>
        <w:tc>
          <w:tcPr/>
          <w:p>
            <w:pPr>
              <w:pStyle w:val="Compact"/>
              <w:jc w:val="left"/>
            </w:pPr>
            <w:r>
              <w:t xml:space="preserve">¥1,000,000</w:t>
            </w:r>
          </w:p>
        </w:tc>
        <w:tc>
          <w:tcPr/>
          <w:p>
            <w:pPr>
              <w:pStyle w:val="Compact"/>
              <w:jc w:val="left"/>
            </w:pPr>
            <w:r>
              <w:t xml:space="preserve">On-site in Kyoto</w:t>
            </w:r>
          </w:p>
        </w:tc>
      </w:tr>
      <w:tr>
        <w:tc>
          <w:tcPr/>
          <w:p>
            <w:pPr>
              <w:pStyle w:val="Compact"/>
              <w:jc w:val="left"/>
            </w:pPr>
            <w:r>
              <w:t xml:space="preserve">2</w:t>
            </w:r>
          </w:p>
        </w:tc>
        <w:tc>
          <w:tcPr/>
          <w:p>
            <w:pPr>
              <w:pStyle w:val="Compact"/>
              <w:jc w:val="left"/>
            </w:pPr>
            <w:r>
              <w:t xml:space="preserve">Operational Process Audit &amp; Restructuring Advisory</w:t>
            </w:r>
          </w:p>
        </w:tc>
        <w:tc>
          <w:tcPr/>
          <w:p>
            <w:pPr>
              <w:pStyle w:val="Compact"/>
              <w:jc w:val="left"/>
            </w:pPr>
            <w:r>
              <w:t xml:space="preserve">60 hours</w:t>
            </w:r>
          </w:p>
        </w:tc>
        <w:tc>
          <w:tcPr/>
          <w:p>
            <w:pPr>
              <w:pStyle w:val="Compact"/>
              <w:jc w:val="left"/>
            </w:pPr>
            <w:r>
              <w:t xml:space="preserve">¥25,000 / hr</w:t>
            </w:r>
          </w:p>
        </w:tc>
        <w:tc>
          <w:tcPr/>
          <w:p>
            <w:pPr>
              <w:pStyle w:val="Compact"/>
              <w:jc w:val="left"/>
            </w:pPr>
            <w:r>
              <w:t xml:space="preserve">¥1,500,000</w:t>
            </w:r>
          </w:p>
        </w:tc>
        <w:tc>
          <w:tcPr/>
          <w:p>
            <w:pPr>
              <w:pStyle w:val="Compact"/>
              <w:jc w:val="left"/>
            </w:pPr>
            <w:r>
              <w:t xml:space="preserve">Hybrid (on-site + remote)</w:t>
            </w:r>
          </w:p>
        </w:tc>
      </w:tr>
      <w:tr>
        <w:tc>
          <w:tcPr/>
          <w:p>
            <w:pPr>
              <w:pStyle w:val="Compact"/>
              <w:jc w:val="left"/>
            </w:pPr>
            <w:r>
              <w:t xml:space="preserve">3</w:t>
            </w:r>
          </w:p>
        </w:tc>
        <w:tc>
          <w:tcPr/>
          <w:p>
            <w:pPr>
              <w:pStyle w:val="Compact"/>
              <w:jc w:val="left"/>
            </w:pPr>
            <w:r>
              <w:t xml:space="preserve">Supply Chain Optimization &amp; Vendor Negotiation Support</w:t>
            </w:r>
          </w:p>
        </w:tc>
        <w:tc>
          <w:tcPr/>
          <w:p>
            <w:pPr>
              <w:pStyle w:val="Compact"/>
              <w:jc w:val="left"/>
            </w:pPr>
            <w:r>
              <w:t xml:space="preserve">30 hours</w:t>
            </w:r>
          </w:p>
        </w:tc>
        <w:tc>
          <w:tcPr/>
          <w:p>
            <w:pPr>
              <w:pStyle w:val="Compact"/>
              <w:jc w:val="left"/>
            </w:pPr>
            <w:r>
              <w:t xml:space="preserve">¥28,000 / hr</w:t>
            </w:r>
          </w:p>
        </w:tc>
        <w:tc>
          <w:tcPr/>
          <w:p>
            <w:pPr>
              <w:pStyle w:val="Compact"/>
              <w:jc w:val="left"/>
            </w:pPr>
            <w:r>
              <w:t xml:space="preserve">¥840,000</w:t>
            </w:r>
          </w:p>
        </w:tc>
        <w:tc>
          <w:tcPr/>
          <w:p>
            <w:pPr>
              <w:pStyle w:val="Compact"/>
              <w:jc w:val="left"/>
            </w:pPr>
            <w:r>
              <w:t xml:space="preserve">Travel within Kyoto Prefecture included</w:t>
            </w:r>
          </w:p>
        </w:tc>
      </w:tr>
      <w:tr>
        <w:tc>
          <w:tcPr/>
          <w:p>
            <w:pPr>
              <w:pStyle w:val="Compact"/>
              <w:jc w:val="left"/>
            </w:pPr>
            <w:r>
              <w:t xml:space="preserve">4</w:t>
            </w:r>
          </w:p>
        </w:tc>
        <w:tc>
          <w:tcPr/>
          <w:p>
            <w:pPr>
              <w:pStyle w:val="Compact"/>
              <w:jc w:val="left"/>
            </w:pPr>
            <w:r>
              <w:t xml:space="preserve">Digital Transformation Roadmap &amp; Implementation Oversight</w:t>
            </w:r>
          </w:p>
        </w:tc>
        <w:tc>
          <w:tcPr/>
          <w:p>
            <w:pPr>
              <w:pStyle w:val="Compact"/>
              <w:jc w:val="left"/>
            </w:pPr>
            <w:r>
              <w:t xml:space="preserve">50 hours</w:t>
            </w:r>
          </w:p>
        </w:tc>
        <w:tc>
          <w:tcPr/>
          <w:p>
            <w:pPr>
              <w:pStyle w:val="Compact"/>
              <w:jc w:val="left"/>
            </w:pPr>
            <w:r>
              <w:t xml:space="preserve">¥30,000 / hr</w:t>
            </w:r>
          </w:p>
        </w:tc>
        <w:tc>
          <w:tcPr/>
          <w:p>
            <w:pPr>
              <w:pStyle w:val="Compact"/>
              <w:jc w:val="left"/>
            </w:pPr>
            <w:r>
              <w:t xml:space="preserve">¥1,500,000</w:t>
            </w:r>
          </w:p>
        </w:tc>
        <w:tc>
          <w:tcPr/>
          <w:p>
            <w:pPr>
              <w:pStyle w:val="Compact"/>
              <w:jc w:val="left"/>
            </w:pPr>
            <w:r>
              <w:t xml:space="preserve">Includes software vendor liaison</w:t>
            </w:r>
          </w:p>
        </w:tc>
      </w:tr>
      <w:tr>
        <w:tc>
          <w:tcPr/>
          <w:p>
            <w:pPr>
              <w:pStyle w:val="Compact"/>
              <w:jc w:val="left"/>
            </w:pPr>
            <w:r>
              <w:t xml:space="preserve">5</w:t>
            </w:r>
          </w:p>
        </w:tc>
        <w:tc>
          <w:tcPr/>
          <w:p>
            <w:pPr>
              <w:pStyle w:val="Compact"/>
              <w:jc w:val="left"/>
            </w:pPr>
            <w:r>
              <w:t xml:space="preserve">Workforce Development &amp; Leadership Training Program Design</w:t>
            </w:r>
          </w:p>
        </w:tc>
        <w:tc>
          <w:tcPr/>
          <w:p>
            <w:pPr>
              <w:pStyle w:val="Compact"/>
              <w:jc w:val="left"/>
            </w:pPr>
            <w:r>
              <w:t xml:space="preserve">25 hours</w:t>
            </w:r>
          </w:p>
        </w:tc>
        <w:tc>
          <w:tcPr/>
          <w:p>
            <w:pPr>
              <w:pStyle w:val="Compact"/>
              <w:jc w:val="left"/>
            </w:pPr>
            <w:r>
              <w:t xml:space="preserve">¥22,000 / hr</w:t>
            </w:r>
          </w:p>
        </w:tc>
        <w:tc>
          <w:tcPr/>
          <w:p>
            <w:pPr>
              <w:pStyle w:val="Compact"/>
              <w:jc w:val="left"/>
            </w:pPr>
            <w:r>
              <w:t xml:space="preserve">¥550,000</w:t>
            </w:r>
          </w:p>
        </w:tc>
        <w:tc>
          <w:tcPr/>
          <w:p>
            <w:pPr>
              <w:pStyle w:val="Compact"/>
              <w:jc w:val="left"/>
            </w:pPr>
            <w:r>
              <w:t xml:space="preserve">Delivered at client premises, Kyoto</w:t>
            </w:r>
          </w:p>
        </w:tc>
      </w:tr>
      <w:tr>
        <w:tc>
          <w:tcPr/>
          <w:p>
            <w:pPr>
              <w:pStyle w:val="Compact"/>
              <w:jc w:val="left"/>
            </w:pPr>
            <w:r>
              <w:t xml:space="preserve">6</w:t>
            </w:r>
          </w:p>
        </w:tc>
        <w:tc>
          <w:tcPr/>
          <w:p>
            <w:pPr>
              <w:pStyle w:val="Compact"/>
              <w:jc w:val="left"/>
            </w:pPr>
            <w:r>
              <w:t xml:space="preserve">Regulatory Compliance Advisory (Japan-specific, Kyoto municipal)</w:t>
            </w:r>
          </w:p>
        </w:tc>
        <w:tc>
          <w:tcPr/>
          <w:p>
            <w:pPr>
              <w:pStyle w:val="Compact"/>
              <w:jc w:val="left"/>
            </w:pPr>
            <w:r>
              <w:t xml:space="preserve">20 hours</w:t>
            </w:r>
          </w:p>
        </w:tc>
        <w:tc>
          <w:tcPr/>
          <w:p>
            <w:pPr>
              <w:pStyle w:val="Compact"/>
              <w:jc w:val="left"/>
            </w:pPr>
            <w:r>
              <w:t xml:space="preserve">¥32,000 / hr</w:t>
            </w:r>
          </w:p>
        </w:tc>
        <w:tc>
          <w:tcPr/>
          <w:p>
            <w:pPr>
              <w:pStyle w:val="Compact"/>
              <w:jc w:val="left"/>
            </w:pPr>
            <w:r>
              <w:t xml:space="preserve">¥640,000</w:t>
            </w:r>
          </w:p>
        </w:tc>
        <w:tc>
          <w:tcPr/>
          <w:p>
            <w:pPr>
              <w:pStyle w:val="Compact"/>
              <w:jc w:val="left"/>
            </w:pPr>
            <w:r>
              <w:t xml:space="preserve">Includes local government liaison</w:t>
            </w:r>
          </w:p>
        </w:tc>
      </w:tr>
      <w:tr>
        <w:tc>
          <w:tcPr/>
          <w:p>
            <w:pPr>
              <w:pStyle w:val="Compact"/>
              <w:jc w:val="left"/>
            </w:pPr>
            <w:r>
              <w:t xml:space="preserve">7</w:t>
            </w:r>
          </w:p>
        </w:tc>
        <w:tc>
          <w:tcPr/>
          <w:p>
            <w:pPr>
              <w:pStyle w:val="Compact"/>
              <w:jc w:val="left"/>
            </w:pPr>
            <w:r>
              <w:t xml:space="preserve">Monthly Progress Reporting &amp; Executive Briefings (6 months)</w:t>
            </w:r>
          </w:p>
        </w:tc>
        <w:tc>
          <w:tcPr/>
          <w:p>
            <w:pPr>
              <w:pStyle w:val="Compact"/>
              <w:jc w:val="left"/>
            </w:pPr>
            <w:r>
              <w:t xml:space="preserve">6 sessions</w:t>
            </w:r>
          </w:p>
        </w:tc>
        <w:tc>
          <w:tcPr/>
          <w:p>
            <w:pPr>
              <w:pStyle w:val="Compact"/>
              <w:jc w:val="left"/>
            </w:pPr>
            <w:r>
              <w:t xml:space="preserve">¥80,000 / session</w:t>
            </w:r>
          </w:p>
        </w:tc>
        <w:tc>
          <w:tcPr/>
          <w:p>
            <w:pPr>
              <w:pStyle w:val="Compact"/>
              <w:jc w:val="left"/>
            </w:pPr>
            <w:r>
              <w:t xml:space="preserve">¥480,000</w:t>
            </w:r>
          </w:p>
        </w:tc>
        <w:tc>
          <w:tcPr/>
          <w:p>
            <w:pPr>
              <w:pStyle w:val="Compact"/>
              <w:jc w:val="left"/>
            </w:pPr>
            <w:r>
              <w:t xml:space="preserve">Quarterly on-site, monthly remote</w:t>
            </w:r>
          </w:p>
        </w:tc>
      </w:tr>
      <w:tr>
        <w:tc>
          <w:tcPr/>
          <w:p>
            <w:pPr>
              <w:pStyle w:val="Compact"/>
              <w:jc w:val="left"/>
            </w:pPr>
            <w:r>
              <w:t xml:space="preserve">8</w:t>
            </w:r>
          </w:p>
        </w:tc>
        <w:tc>
          <w:tcPr/>
          <w:p>
            <w:pPr>
              <w:pStyle w:val="Compact"/>
              <w:jc w:val="left"/>
            </w:pPr>
            <w:r>
              <w:t xml:space="preserve">Project Management &amp; Coordination (ongoing)</w:t>
            </w:r>
          </w:p>
        </w:tc>
        <w:tc>
          <w:tcPr/>
          <w:p>
            <w:pPr>
              <w:pStyle w:val="Compact"/>
              <w:jc w:val="left"/>
            </w:pPr>
            <w:r>
              <w:t xml:space="preserve">6 months</w:t>
            </w:r>
          </w:p>
        </w:tc>
        <w:tc>
          <w:tcPr/>
          <w:p>
            <w:pPr>
              <w:pStyle w:val="Compact"/>
              <w:jc w:val="left"/>
            </w:pPr>
            <w:r>
              <w:t xml:space="preserve">¥150,000 / month</w:t>
            </w:r>
          </w:p>
        </w:tc>
        <w:tc>
          <w:tcPr/>
          <w:p>
            <w:pPr>
              <w:pStyle w:val="Compact"/>
              <w:jc w:val="left"/>
            </w:pPr>
            <w:r>
              <w:t xml:space="preserve">¥900,000</w:t>
            </w:r>
          </w:p>
        </w:tc>
        <w:tc>
          <w:tcPr/>
          <w:p>
            <w:pPr>
              <w:pStyle w:val="Compact"/>
              <w:jc w:val="left"/>
            </w:pPr>
            <w:r>
              <w:t xml:space="preserve">Dedicated Business Consultant PM</w:t>
            </w:r>
          </w:p>
        </w:tc>
      </w:tr>
      <w:tr>
        <w:tc>
          <w:tcPr>
            <w:gridSpan w:val="4"/>
          </w:tcPr>
          <w:p>
            <w:pPr>
              <w:pStyle w:val="Compact"/>
              <w:jc w:val="right"/>
            </w:pPr>
            <w:r>
              <w:t xml:space="preserve">TOTAL ESTIMATED FEE (before tax):</w:t>
            </w:r>
          </w:p>
        </w:tc>
        <w:tc>
          <w:tcPr/>
          <w:p>
            <w:pPr>
              <w:pStyle w:val="Compact"/>
              <w:jc w:val="left"/>
            </w:pPr>
            <w:r>
              <w:t xml:space="preserve">¥7,410,000</w:t>
            </w:r>
          </w:p>
        </w:tc>
        <w:tc>
          <w:tcPr/>
          <w:p>
            <w:pPr>
              <w:pStyle w:val="Compact"/>
            </w:pPr>
          </w:p>
        </w:tc>
      </w:tr>
      <w:tr>
        <w:tc>
          <w:tcPr>
            <w:gridSpan w:val="4"/>
          </w:tcPr>
          <w:p>
            <w:pPr>
              <w:pStyle w:val="Compact"/>
              <w:jc w:val="right"/>
            </w:pPr>
            <w:r>
              <w:t xml:space="preserve">Consumption Tax (10%):</w:t>
            </w:r>
          </w:p>
        </w:tc>
        <w:tc>
          <w:tcPr/>
          <w:p>
            <w:pPr>
              <w:pStyle w:val="Compact"/>
              <w:jc w:val="left"/>
            </w:pPr>
            <w:r>
              <w:t xml:space="preserve">¥741,000</w:t>
            </w:r>
          </w:p>
        </w:tc>
        <w:tc>
          <w:tcPr/>
          <w:p>
            <w:pPr>
              <w:pStyle w:val="Compact"/>
            </w:pPr>
          </w:p>
        </w:tc>
      </w:tr>
      <w:tr>
        <w:tc>
          <w:tcPr>
            <w:gridSpan w:val="4"/>
          </w:tcPr>
          <w:p>
            <w:pPr>
              <w:pStyle w:val="Compact"/>
              <w:jc w:val="right"/>
            </w:pPr>
            <w:r>
              <w:t xml:space="preserve">GRAND TOTAL (tax included):</w:t>
            </w:r>
          </w:p>
        </w:tc>
        <w:tc>
          <w:tcPr/>
          <w:p>
            <w:pPr>
              <w:pStyle w:val="Compact"/>
              <w:jc w:val="left"/>
            </w:pPr>
            <w:r>
              <w:t xml:space="preserve">¥8,151,000</w:t>
            </w:r>
          </w:p>
        </w:tc>
        <w:tc>
          <w:tcPr/>
          <w:p>
            <w:pPr>
              <w:pStyle w:val="Compact"/>
            </w:pPr>
          </w:p>
        </w:tc>
      </w:tr>
    </w:tbl>
    <w:bookmarkEnd w:id="22"/>
    <w:bookmarkStart w:id="23" w:name="engagement-terms-and-conditions"/>
    <w:p>
      <w:pPr>
        <w:pStyle w:val="Heading2"/>
      </w:pPr>
      <w:r>
        <w:t xml:space="preserve">3. Engagement 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Beyond this period, fees and availability of the assigned Business Consultant may be subject to revision.</w:t>
      </w:r>
    </w:p>
    <w:p>
      <w:pPr>
        <w:numPr>
          <w:ilvl w:val="0"/>
          <w:numId w:val="1001"/>
        </w:numPr>
        <w:pStyle w:val="Compact"/>
      </w:pPr>
      <w:r>
        <w:rPr>
          <w:bCs/>
          <w:b/>
        </w:rPr>
        <w:t xml:space="preserve">Payment Schedule:</w:t>
      </w:r>
      <w:r>
        <w:t xml:space="preserve"> </w:t>
      </w:r>
      <w:r>
        <w:t xml:space="preserve">30% advance payment upon contract execution; 40% upon completion of the mid-project milestone (Month 3); 30% upon final delivery and acceptance. All payments to be made via bank transfer to the account designated by Kyoto Business Advisory Group Co., Ltd.</w:t>
      </w:r>
    </w:p>
    <w:p>
      <w:pPr>
        <w:numPr>
          <w:ilvl w:val="0"/>
          <w:numId w:val="1001"/>
        </w:numPr>
        <w:pStyle w:val="Compact"/>
      </w:pPr>
      <w:r>
        <w:rPr>
          <w:bCs/>
          <w:b/>
        </w:rPr>
        <w:t xml:space="preserve">Scope Changes:</w:t>
      </w:r>
      <w:r>
        <w:t xml:space="preserve"> </w:t>
      </w:r>
      <w:r>
        <w:t xml:space="preserve">Any additional services beyond the scope defined in this Quotation Estimate will be subject to a supplementary written agreement and additional fees at the rates specified above.</w:t>
      </w:r>
    </w:p>
    <w:p>
      <w:pPr>
        <w:numPr>
          <w:ilvl w:val="0"/>
          <w:numId w:val="1001"/>
        </w:numPr>
        <w:pStyle w:val="Compact"/>
      </w:pPr>
      <w:r>
        <w:rPr>
          <w:bCs/>
          <w:b/>
        </w:rPr>
        <w:t xml:space="preserve">Confidentiality:</w:t>
      </w:r>
      <w:r>
        <w:t xml:space="preserve"> </w:t>
      </w:r>
      <w:r>
        <w:t xml:space="preserve">The Business Consultant and all supporting staff shall maintain strict confidentiality regarding all proprietary information of the client. A separate Non-Disclosure Agreement (NDA) will be executed prior to the commencement of work.</w:t>
      </w:r>
    </w:p>
    <w:p>
      <w:pPr>
        <w:numPr>
          <w:ilvl w:val="0"/>
          <w:numId w:val="1001"/>
        </w:numPr>
        <w:pStyle w:val="Compact"/>
      </w:pPr>
      <w:r>
        <w:rPr>
          <w:bCs/>
          <w:b/>
        </w:rPr>
        <w:t xml:space="preserve">Intellectual Property:</w:t>
      </w:r>
      <w:r>
        <w:t xml:space="preserve"> </w:t>
      </w:r>
      <w:r>
        <w:t xml:space="preserve">All reports, strategies, roadmaps, and deliverables produced under this engagement shall become the exclusive property of the client upon full payment.</w:t>
      </w:r>
    </w:p>
    <w:p>
      <w:pPr>
        <w:numPr>
          <w:ilvl w:val="0"/>
          <w:numId w:val="1001"/>
        </w:numPr>
        <w:pStyle w:val="Compact"/>
      </w:pPr>
      <w:r>
        <w:rPr>
          <w:bCs/>
          <w:b/>
        </w:rPr>
        <w:t xml:space="preserve">Termination:</w:t>
      </w:r>
      <w:r>
        <w:t xml:space="preserve"> </w:t>
      </w:r>
      <w:r>
        <w:t xml:space="preserve">Either party may terminate the engagement with thirty (30) days written notice. In such case, fees for work completed up to the termination date shall be invoiced and paid in full.</w:t>
      </w:r>
    </w:p>
    <w:p>
      <w:pPr>
        <w:numPr>
          <w:ilvl w:val="0"/>
          <w:numId w:val="1001"/>
        </w:numPr>
        <w:pStyle w:val="Compact"/>
      </w:pPr>
      <w:r>
        <w:rPr>
          <w:bCs/>
          <w:b/>
        </w:rPr>
        <w:t xml:space="preserve">Travel and Expenses:</w:t>
      </w:r>
      <w:r>
        <w:t xml:space="preserve"> </w:t>
      </w:r>
      <w:r>
        <w:t xml:space="preserve">Travel within the Japan Kyoto metropolitan area is included. Travel beyond a 50-kilometer radius from central Kyoto will be billed at actual cost with prior written approval from the client.</w:t>
      </w:r>
    </w:p>
    <w:p>
      <w:pPr>
        <w:numPr>
          <w:ilvl w:val="0"/>
          <w:numId w:val="1001"/>
        </w:numPr>
        <w:pStyle w:val="Compact"/>
      </w:pPr>
      <w:r>
        <w:rPr>
          <w:bCs/>
          <w:b/>
        </w:rPr>
        <w:t xml:space="preserve">Governing Law:</w:t>
      </w:r>
      <w:r>
        <w:t xml:space="preserve"> </w:t>
      </w:r>
      <w:r>
        <w:t xml:space="preserve">This Quotation Estimate and the resulting contract shall be governed by the laws of Japan. Any disputes shall be resolved through arbitration in Kyoto, Japan, in accordance with the rules of the Japan Commercial Arbitration Association.</w:t>
      </w:r>
    </w:p>
    <w:p>
      <w:pPr>
        <w:numPr>
          <w:ilvl w:val="0"/>
          <w:numId w:val="1001"/>
        </w:numPr>
        <w:pStyle w:val="Compact"/>
      </w:pPr>
      <w:r>
        <w:rPr>
          <w:bCs/>
          <w:b/>
        </w:rPr>
        <w:t xml:space="preserve">Force Majeure:</w:t>
      </w:r>
      <w:r>
        <w:t xml:space="preserve"> </w:t>
      </w:r>
      <w:r>
        <w:t xml:space="preserve">Neither party shall be liable for delays or failures in performance resulting from natural disasters, government actions, or other events beyond reasonable control, which are common considerations in the Japan Kyoto region.</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and agrees to the terms, conditions, and fee structure outlined herein for the engagement of the Business Consultant services in Japan Kyoto. This document, once countersigned by both parties, constitutes a binding service agreement.</w:t>
      </w:r>
    </w:p>
    <w:p>
      <w:pPr>
        <w:pStyle w:val="BodyText"/>
      </w:pPr>
      <w:r>
        <w:rPr>
          <w:bCs/>
          <w:b/>
        </w:rPr>
        <w:t xml:space="preserve">For: Kyoto Business Advisory Group Co., Ltd.</w:t>
      </w:r>
    </w:p>
    <w:p>
      <w:pPr>
        <w:pStyle w:val="BodyText"/>
      </w:pPr>
      <w:r>
        <w:t xml:space="preserve">Name: Ms. Elena Sato</w:t>
      </w:r>
    </w:p>
    <w:p>
      <w:pPr>
        <w:pStyle w:val="BodyText"/>
      </w:pPr>
      <w:r>
        <w:t xml:space="preserve">Title: Senior Business Consultant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Yamamoto Trading Co., Ltd.</w:t>
      </w:r>
    </w:p>
    <w:p>
      <w:pPr>
        <w:pStyle w:val="BodyText"/>
      </w:pPr>
      <w:r>
        <w:t xml:space="preserve">Name: Mr. Takashi Yamamoto</w:t>
      </w:r>
    </w:p>
    <w:p>
      <w:pPr>
        <w:pStyle w:val="BodyText"/>
      </w:pPr>
      <w:r>
        <w:t xml:space="preserve">Title: Chief Executive Officer</w:t>
      </w:r>
    </w:p>
    <w:p>
      <w:pPr>
        <w:pStyle w:val="BodyText"/>
      </w:pPr>
      <w:r>
        <w:t xml:space="preserve">Signature: ___________________________</w:t>
      </w:r>
    </w:p>
    <w:p>
      <w:pPr>
        <w:pStyle w:val="BodyText"/>
      </w:pPr>
      <w:r>
        <w:t xml:space="preserve">Date: ___________________________</w:t>
      </w:r>
    </w:p>
    <w:p>
      <w:pPr>
        <w:pStyle w:val="BodyText"/>
      </w:pPr>
      <w:r>
        <w:t xml:space="preserve">Kyoto Business Advisory Group Co., Ltd. | 506-1, Nakagyo-ku, Kyoto, Japan 604-8001 | Tel: +81-75-000-0000 | Email: inquiries@kyoto-bag.co.jp</w:t>
      </w:r>
    </w:p>
    <w:p>
      <w:pPr>
        <w:pStyle w:val="BodyText"/>
      </w:pPr>
      <w:r>
        <w:t xml:space="preserve">This Quotation Estimate is confidential and intended solely for the named recipient. Unauthorized reproduction or distribution is prohibited.</w:t>
      </w:r>
    </w:p>
    <w:p>
      <w:pPr>
        <w:pStyle w:val="BodyText"/>
      </w:pPr>
      <w:r>
        <w:t xml:space="preserve">Document Ref: KYOTO-BC-2025-0472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Services - Japan Kyoto</dc:title>
  <dc:creator/>
  <dc:language>en</dc:language>
  <cp:keywords/>
  <dcterms:created xsi:type="dcterms:W3CDTF">2026-10-10T07:07:44Z</dcterms:created>
  <dcterms:modified xsi:type="dcterms:W3CDTF">2026-10-10T07:07:44Z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