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strategic-advisory-group"/>
    <w:p>
      <w:pPr>
        <w:pStyle w:val="Heading1"/>
      </w:pPr>
      <w:r>
        <w:t xml:space="preserve">OSAKA STRATEGIC ADVISORY GROUP</w:t>
      </w:r>
    </w:p>
    <w:p>
      <w:pPr>
        <w:pStyle w:val="FirstParagraph"/>
      </w:pPr>
      <w:r>
        <w:t xml:space="preserve">2-14-8 Umeda, Kita-ku, Osaka 530-0001, Japan</w:t>
      </w:r>
    </w:p>
    <w:p>
      <w:pPr>
        <w:pStyle w:val="BodyText"/>
      </w:pPr>
      <w:r>
        <w:t xml:space="preserve">Tel: +81-6-6345-8901 | Email: inquiries@osakastrategic.jp</w:t>
      </w:r>
    </w:p>
    <w:p>
      <w:pPr>
        <w:pStyle w:val="BodyText"/>
      </w:pPr>
      <w:r>
        <w:t xml:space="preserve">Corporation Number: 5010001234567 | Representative: Kenji Tanaka</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Company:</w:t>
      </w:r>
      <w:r>
        <w:t xml:space="preserve"> </w:t>
      </w:r>
      <w:r>
        <w:t xml:space="preserve">Kansai Global Trading Co., Ltd.</w:t>
      </w:r>
    </w:p>
    <w:p>
      <w:pPr>
        <w:pStyle w:val="BodyText"/>
      </w:pPr>
      <w:r>
        <w:rPr>
          <w:bCs/>
          <w:b/>
        </w:rPr>
        <w:t xml:space="preserve">Address:</w:t>
      </w:r>
      <w:r>
        <w:t xml:space="preserve"> </w:t>
      </w:r>
      <w:r>
        <w:t xml:space="preserve">3-5-2 Namba, Chuo-ku, Osaka 542-0073, Japan</w:t>
      </w:r>
    </w:p>
    <w:p>
      <w:pPr>
        <w:pStyle w:val="BodyText"/>
      </w:pPr>
      <w:r>
        <w:rPr>
          <w:bCs/>
          <w:b/>
        </w:rPr>
        <w:t xml:space="preserve">Contact:</w:t>
      </w:r>
      <w:r>
        <w:t xml:space="preserve"> </w:t>
      </w:r>
      <w:r>
        <w:t xml:space="preserve">Mr. Hiroshi Yamamoto, CEO</w:t>
      </w:r>
    </w:p>
    <w:p>
      <w:pPr>
        <w:pStyle w:val="BodyText"/>
      </w:pPr>
      <w:r>
        <w:rPr>
          <w:bCs/>
          <w:b/>
        </w:rPr>
        <w:t xml:space="preserve">Email:</w:t>
      </w:r>
      <w:r>
        <w:t xml:space="preserve"> </w:t>
      </w:r>
      <w:r>
        <w:t xml:space="preserve">h.yamamoto@kansaiglobal.co.jp</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QTE-2025-OSK-0472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Japan Osaka (Primary Office &amp; Field Operations)</w:t>
      </w:r>
    </w:p>
    <w:bookmarkEnd w:id="22"/>
    <w:p>
      <w:pPr>
        <w:pStyle w:val="BodyText"/>
      </w:pPr>
      <w:r>
        <w:t xml:space="preserve">This</w:t>
      </w:r>
      <w:r>
        <w:t xml:space="preserve"> </w:t>
      </w:r>
      <w:r>
        <w:t xml:space="preserve">Quotation Estimate</w:t>
      </w:r>
      <w:r>
        <w:t xml:space="preserve"> </w:t>
      </w:r>
      <w:r>
        <w:t xml:space="preserve">is issued by Osaka Strategic Advisory Group in response to the formal request from Kansai Global Trading Co., Ltd. for the engagement of a senior</w:t>
      </w:r>
      <w:r>
        <w:t xml:space="preserve"> </w:t>
      </w:r>
      <w:r>
        <w:t xml:space="preserve">Business Consultant</w:t>
      </w:r>
      <w:r>
        <w:t xml:space="preserve"> </w:t>
      </w:r>
      <w:r>
        <w:t xml:space="preserve">to provide comprehensive strategic advisory services within the</w:t>
      </w:r>
      <w:r>
        <w:t xml:space="preserve"> </w:t>
      </w:r>
      <w:r>
        <w:t xml:space="preserve">Japan Osaka</w:t>
      </w:r>
      <w:r>
        <w:t xml:space="preserve"> </w:t>
      </w:r>
      <w:r>
        <w:t xml:space="preserve">metropolitan region. The scope, deliverables, and financial terms outlined below reflect our professional assessment of the project requirements and are intended to serve as a binding proposal upon mutual acceptance.</w:t>
      </w:r>
    </w:p>
    <w:p>
      <w:pPr>
        <w:pStyle w:val="BodyText"/>
      </w:pPr>
      <w:r>
        <w:t xml:space="preserve">1. Scope of Services – Business Consultant Engagement in Japan Osaka</w:t>
      </w:r>
    </w:p>
    <w:p>
      <w:pPr>
        <w:pStyle w:val="BodyText"/>
      </w:pPr>
      <w:r>
        <w:t xml:space="preserve">The appointed</w:t>
      </w:r>
      <w:r>
        <w:t xml:space="preserve"> </w:t>
      </w:r>
      <w:r>
        <w:t xml:space="preserve">Business Consultant</w:t>
      </w:r>
      <w:r>
        <w:t xml:space="preserve"> </w:t>
      </w:r>
      <w:r>
        <w:t xml:space="preserve">shall deliver the following services tailored to the unique commercial landscape of</w:t>
      </w:r>
      <w:r>
        <w:t xml:space="preserve"> </w:t>
      </w:r>
      <w:r>
        <w:t xml:space="preserve">Japan Osaka</w:t>
      </w:r>
      <w:r>
        <w:t xml:space="preserve">, including but not limited to the Umeda, Namba, and Tennoji business districts:</w:t>
      </w:r>
    </w:p>
    <w:p>
      <w:pPr>
        <w:numPr>
          <w:ilvl w:val="0"/>
          <w:numId w:val="1001"/>
        </w:numPr>
        <w:pStyle w:val="Compact"/>
      </w:pPr>
      <w:r>
        <w:rPr>
          <w:bCs/>
          <w:b/>
        </w:rPr>
        <w:t xml:space="preserve">Strategic Market Analysis:</w:t>
      </w:r>
      <w:r>
        <w:t xml:space="preserve"> </w:t>
      </w:r>
      <w:r>
        <w:t xml:space="preserve">Conduct a thorough competitive and market intelligence review of the Kansai region, identifying growth opportunities specific to the Japan Osaka economic corridor, including port logistics, manufacturing clusters, and emerging technology sectors.</w:t>
      </w:r>
    </w:p>
    <w:p>
      <w:pPr>
        <w:numPr>
          <w:ilvl w:val="0"/>
          <w:numId w:val="1001"/>
        </w:numPr>
        <w:pStyle w:val="Compact"/>
      </w:pPr>
      <w:r>
        <w:rPr>
          <w:bCs/>
          <w:b/>
        </w:rPr>
        <w:t xml:space="preserve">Operational Process Optimization:</w:t>
      </w:r>
      <w:r>
        <w:t xml:space="preserve"> </w:t>
      </w:r>
      <w:r>
        <w:t xml:space="preserve">Evaluate and redesign internal business processes to align with Japanese regulatory frameworks, local labor practices, and the operational cadence typical of Japan Osaka enterprises.</w:t>
      </w:r>
    </w:p>
    <w:p>
      <w:pPr>
        <w:numPr>
          <w:ilvl w:val="0"/>
          <w:numId w:val="1001"/>
        </w:numPr>
        <w:pStyle w:val="Compact"/>
      </w:pPr>
      <w:r>
        <w:rPr>
          <w:bCs/>
          <w:b/>
        </w:rPr>
        <w:t xml:space="preserve">Stakeholder &amp; Partnership Development:</w:t>
      </w:r>
      <w:r>
        <w:t xml:space="preserve"> </w:t>
      </w:r>
      <w:r>
        <w:t xml:space="preserve">Facilitate introductions and negotiation support with key industry associations, municipal government offices in Osaka Prefecture, and potential joint-venture partners operating within Japan Osaka.</w:t>
      </w:r>
    </w:p>
    <w:p>
      <w:pPr>
        <w:numPr>
          <w:ilvl w:val="0"/>
          <w:numId w:val="1001"/>
        </w:numPr>
        <w:pStyle w:val="Compact"/>
      </w:pPr>
      <w:r>
        <w:rPr>
          <w:bCs/>
          <w:b/>
        </w:rPr>
        <w:t xml:space="preserve">Financial Modeling &amp; Forecasting:</w:t>
      </w:r>
      <w:r>
        <w:t xml:space="preserve"> </w:t>
      </w:r>
      <w:r>
        <w:t xml:space="preserve">Develop three-year financial projections incorporating Japan Osaka-specific cost structures, tax incentives available through the Osaka Metropolitan Area revitalization programs, and currency risk considerations.</w:t>
      </w:r>
    </w:p>
    <w:p>
      <w:pPr>
        <w:numPr>
          <w:ilvl w:val="0"/>
          <w:numId w:val="1001"/>
        </w:numPr>
        <w:pStyle w:val="Compact"/>
      </w:pPr>
      <w:r>
        <w:rPr>
          <w:bCs/>
          <w:b/>
        </w:rPr>
        <w:t xml:space="preserve">Change Management &amp; Training:</w:t>
      </w:r>
      <w:r>
        <w:t xml:space="preserve"> </w:t>
      </w:r>
      <w:r>
        <w:t xml:space="preserve">Deliver on-site workshops and leadership development sessions at the client's Japan Osaka headquarters to ensure organizational readiness for the recommended strategic shifts.</w:t>
      </w:r>
    </w:p>
    <w:p>
      <w:pPr>
        <w:pStyle w:val="FirstParagraph"/>
      </w:pPr>
      <w:r>
        <w:t xml:space="preserve">2. Financial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Business Consultant – Senior Strategic Advisor (on-site, Japan Osaka)</w:t>
            </w:r>
          </w:p>
        </w:tc>
        <w:tc>
          <w:tcPr/>
          <w:p>
            <w:pPr>
              <w:pStyle w:val="Compact"/>
              <w:jc w:val="left"/>
            </w:pPr>
            <w:r>
              <w:t xml:space="preserve">120 hours</w:t>
            </w:r>
          </w:p>
        </w:tc>
        <w:tc>
          <w:tcPr/>
          <w:p>
            <w:pPr>
              <w:pStyle w:val="Compact"/>
              <w:jc w:val="left"/>
            </w:pPr>
            <w:r>
              <w:t xml:space="preserve">45,000 / hr</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Business Consultant – Market Research &amp; Competitive Analysis (Japan Osaka region)</w:t>
            </w:r>
          </w:p>
        </w:tc>
        <w:tc>
          <w:tcPr/>
          <w:p>
            <w:pPr>
              <w:pStyle w:val="Compact"/>
              <w:jc w:val="left"/>
            </w:pPr>
            <w:r>
              <w:t xml:space="preserve">60 hours</w:t>
            </w:r>
          </w:p>
        </w:tc>
        <w:tc>
          <w:tcPr/>
          <w:p>
            <w:pPr>
              <w:pStyle w:val="Compact"/>
              <w:jc w:val="left"/>
            </w:pPr>
            <w:r>
              <w:t xml:space="preserve">38,000 / hr</w:t>
            </w:r>
          </w:p>
        </w:tc>
        <w:tc>
          <w:tcPr/>
          <w:p>
            <w:pPr>
              <w:pStyle w:val="Compact"/>
              <w:jc w:val="left"/>
            </w:pPr>
            <w:r>
              <w:t xml:space="preserve">2,280,000</w:t>
            </w:r>
          </w:p>
        </w:tc>
      </w:tr>
      <w:tr>
        <w:tc>
          <w:tcPr/>
          <w:p>
            <w:pPr>
              <w:pStyle w:val="Compact"/>
              <w:jc w:val="left"/>
            </w:pPr>
            <w:r>
              <w:t xml:space="preserve">03</w:t>
            </w:r>
          </w:p>
        </w:tc>
        <w:tc>
          <w:tcPr/>
          <w:p>
            <w:pPr>
              <w:pStyle w:val="Compact"/>
              <w:jc w:val="left"/>
            </w:pPr>
            <w:r>
              <w:t xml:space="preserve">Financial Modeling &amp; Japan Osaka Regulatory Compliance Review</w:t>
            </w:r>
          </w:p>
        </w:tc>
        <w:tc>
          <w:tcPr/>
          <w:p>
            <w:pPr>
              <w:pStyle w:val="Compact"/>
              <w:jc w:val="left"/>
            </w:pPr>
            <w:r>
              <w:t xml:space="preserve">40 hours</w:t>
            </w:r>
          </w:p>
        </w:tc>
        <w:tc>
          <w:tcPr/>
          <w:p>
            <w:pPr>
              <w:pStyle w:val="Compact"/>
              <w:jc w:val="left"/>
            </w:pPr>
            <w:r>
              <w:t xml:space="preserve">42,000 / hr</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Stakeholder Engagement &amp; Partnership Facilitation (Osaka Prefecture)</w:t>
            </w:r>
          </w:p>
        </w:tc>
        <w:tc>
          <w:tcPr/>
          <w:p>
            <w:pPr>
              <w:pStyle w:val="Compact"/>
              <w:jc w:val="left"/>
            </w:pPr>
            <w:r>
              <w:t xml:space="preserve">30 hours</w:t>
            </w:r>
          </w:p>
        </w:tc>
        <w:tc>
          <w:tcPr/>
          <w:p>
            <w:pPr>
              <w:pStyle w:val="Compact"/>
              <w:jc w:val="left"/>
            </w:pPr>
            <w:r>
              <w:t xml:space="preserve">40,000 / hr</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Change Management Workshops &amp; Leadership Training (Japan Osaka HQ)</w:t>
            </w:r>
          </w:p>
        </w:tc>
        <w:tc>
          <w:tcPr/>
          <w:p>
            <w:pPr>
              <w:pStyle w:val="Compact"/>
              <w:jc w:val="left"/>
            </w:pPr>
            <w:r>
              <w:t xml:space="preserve">4 sessions</w:t>
            </w:r>
          </w:p>
        </w:tc>
        <w:tc>
          <w:tcPr/>
          <w:p>
            <w:pPr>
              <w:pStyle w:val="Compact"/>
              <w:jc w:val="left"/>
            </w:pPr>
            <w:r>
              <w:t xml:space="preserve">350,000 / session</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Travel, Accommodation &amp; Local Transportation within Japan Osaka</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Final Strategic Report &amp; Implementation Roadmap (Japan Osaka context)</w:t>
            </w:r>
          </w:p>
        </w:tc>
        <w:tc>
          <w:tcPr/>
          <w:p>
            <w:pPr>
              <w:pStyle w:val="Compact"/>
              <w:jc w:val="left"/>
            </w:pPr>
            <w:r>
              <w:t xml:space="preserve">1 deliverable</w:t>
            </w:r>
          </w:p>
        </w:tc>
        <w:tc>
          <w:tcPr/>
          <w:p>
            <w:pPr>
              <w:pStyle w:val="Compact"/>
              <w:jc w:val="left"/>
            </w:pPr>
            <w:r>
              <w:t xml:space="preserve">Flat fee</w:t>
            </w:r>
          </w:p>
        </w:tc>
        <w:tc>
          <w:tcPr/>
          <w:p>
            <w:pPr>
              <w:pStyle w:val="Compact"/>
              <w:jc w:val="left"/>
            </w:pPr>
            <w:r>
              <w:t xml:space="preserve">850,000</w:t>
            </w:r>
          </w:p>
        </w:tc>
      </w:tr>
      <w:tr>
        <w:tc>
          <w:tcPr>
            <w:gridSpan w:val="4"/>
          </w:tcPr>
          <w:p>
            <w:pPr>
              <w:pStyle w:val="Compact"/>
              <w:jc w:val="left"/>
            </w:pPr>
            <w:r>
              <w:t xml:space="preserve">Subtotal</w:t>
            </w:r>
          </w:p>
        </w:tc>
        <w:tc>
          <w:tcPr/>
          <w:p>
            <w:pPr>
              <w:pStyle w:val="Compact"/>
              <w:jc w:val="left"/>
            </w:pPr>
            <w:r>
              <w:t xml:space="preserve">13,290,000</w:t>
            </w:r>
          </w:p>
        </w:tc>
      </w:tr>
      <w:tr>
        <w:tc>
          <w:tcPr>
            <w:gridSpan w:val="4"/>
          </w:tcPr>
          <w:p>
            <w:pPr>
              <w:pStyle w:val="Compact"/>
              <w:jc w:val="left"/>
            </w:pPr>
            <w:r>
              <w:t xml:space="preserve">Consumption Tax (10%)</w:t>
            </w:r>
          </w:p>
        </w:tc>
        <w:tc>
          <w:tcPr/>
          <w:p>
            <w:pPr>
              <w:pStyle w:val="Compact"/>
              <w:jc w:val="left"/>
            </w:pPr>
            <w:r>
              <w:t xml:space="preserve">1,329,000</w:t>
            </w:r>
          </w:p>
        </w:tc>
      </w:tr>
      <w:tr>
        <w:tc>
          <w:tcPr>
            <w:gridSpan w:val="4"/>
          </w:tcPr>
          <w:p>
            <w:pPr>
              <w:pStyle w:val="Compact"/>
              <w:jc w:val="left"/>
            </w:pPr>
            <w:r>
              <w:rPr>
                <w:bCs/>
                <w:b/>
              </w:rPr>
              <w:t xml:space="preserve">TOTAL QUOTATION ESTIMATE (JPY)</w:t>
            </w:r>
          </w:p>
        </w:tc>
        <w:tc>
          <w:tcPr/>
          <w:p>
            <w:pPr>
              <w:pStyle w:val="Compact"/>
              <w:jc w:val="left"/>
            </w:pPr>
            <w:r>
              <w:rPr>
                <w:bCs/>
                <w:b/>
              </w:rPr>
              <w:t xml:space="preserve">14,619,000</w:t>
            </w:r>
          </w:p>
        </w:tc>
      </w:tr>
    </w:tbl>
    <w:p>
      <w:pPr>
        <w:pStyle w:val="BodyText"/>
      </w:pPr>
      <w:r>
        <w:t xml:space="preserve">3. Project Timeline</w:t>
      </w:r>
    </w:p>
    <w:p>
      <w:pPr>
        <w:pStyle w:val="BodyText"/>
      </w:pPr>
      <w:r>
        <w:t xml:space="preserve">The</w:t>
      </w:r>
      <w:r>
        <w:t xml:space="preserve"> </w:t>
      </w:r>
      <w:r>
        <w:t xml:space="preserve">Business Consultant</w:t>
      </w:r>
      <w:r>
        <w:t xml:space="preserve"> </w:t>
      </w:r>
      <w:r>
        <w:t xml:space="preserve">engagement is projected to span approximately</w:t>
      </w:r>
      <w:r>
        <w:t xml:space="preserve"> </w:t>
      </w:r>
      <w:r>
        <w:rPr>
          <w:bCs/>
          <w:b/>
        </w:rPr>
        <w:t xml:space="preserve">fourteen (14) weeks</w:t>
      </w:r>
      <w:r>
        <w:t xml:space="preserve">, commencing on 1 August 2025 and concluding by 14 November 2025. All on-site activities will be conducted at the client's premises in Japan Osaka, with supplementary field visits to partner facilities across Osaka Prefecture as required.</w:t>
      </w:r>
    </w:p>
    <w:p>
      <w:pPr>
        <w:pStyle w:val="BodyText"/>
      </w:pPr>
      <w:r>
        <w:t xml:space="preserve">4. Payment Terms</w:t>
      </w:r>
    </w:p>
    <w:p>
      <w:pPr>
        <w:numPr>
          <w:ilvl w:val="0"/>
          <w:numId w:val="1002"/>
        </w:numPr>
        <w:pStyle w:val="Compact"/>
      </w:pPr>
      <w:r>
        <w:rPr>
          <w:bCs/>
          <w:b/>
        </w:rPr>
        <w:t xml:space="preserve">30%</w:t>
      </w:r>
      <w:r>
        <w:t xml:space="preserve"> </w:t>
      </w:r>
      <w:r>
        <w:t xml:space="preserve">advance payment upon execution of the service agreement: JPY 4,385,700</w:t>
      </w:r>
    </w:p>
    <w:p>
      <w:pPr>
        <w:numPr>
          <w:ilvl w:val="0"/>
          <w:numId w:val="1002"/>
        </w:numPr>
        <w:pStyle w:val="Compact"/>
      </w:pPr>
      <w:r>
        <w:rPr>
          <w:bCs/>
          <w:b/>
        </w:rPr>
        <w:t xml:space="preserve">40%</w:t>
      </w:r>
      <w:r>
        <w:t xml:space="preserve"> </w:t>
      </w:r>
      <w:r>
        <w:t xml:space="preserve">upon completion of the mid-project review (Week 7): JPY 5,847,600</w:t>
      </w:r>
    </w:p>
    <w:p>
      <w:pPr>
        <w:numPr>
          <w:ilvl w:val="0"/>
          <w:numId w:val="1002"/>
        </w:numPr>
        <w:pStyle w:val="Compact"/>
      </w:pPr>
      <w:r>
        <w:rPr>
          <w:bCs/>
          <w:b/>
        </w:rPr>
        <w:t xml:space="preserve">30%</w:t>
      </w:r>
      <w:r>
        <w:t xml:space="preserve"> </w:t>
      </w:r>
      <w:r>
        <w:t xml:space="preserve">upon delivery of the final strategic report and acceptance: JPY 4,385,700</w:t>
      </w:r>
    </w:p>
    <w:p>
      <w:pPr>
        <w:numPr>
          <w:ilvl w:val="0"/>
          <w:numId w:val="1002"/>
        </w:numPr>
        <w:pStyle w:val="Compact"/>
      </w:pPr>
      <w:r>
        <w:t xml:space="preserve">All payments to be made via bank transfer to the account specified in the service agreement. Invoices shall be issued in Japanese Yen (JPY) in accordance with Japan Osaka commercial invoicing standards.</w:t>
      </w:r>
    </w:p>
    <w:p>
      <w:pPr>
        <w:pStyle w:val="FirstParagraph"/>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availability of the</w:t>
      </w:r>
      <w:r>
        <w:t xml:space="preserve"> </w:t>
      </w:r>
      <w:r>
        <w:t xml:space="preserve">Business Consultant</w:t>
      </w:r>
      <w:r>
        <w:t xml:space="preserve"> </w:t>
      </w:r>
      <w:r>
        <w:t xml:space="preserve">may be subject to revision.</w:t>
      </w:r>
    </w:p>
    <w:p>
      <w:pPr>
        <w:numPr>
          <w:ilvl w:val="0"/>
          <w:numId w:val="1003"/>
        </w:numPr>
        <w:pStyle w:val="Compact"/>
      </w:pPr>
      <w:r>
        <w:t xml:space="preserve">All intellectual property generated during the engagement, including the final strategic report, shall become the property of the client upon full payment.</w:t>
      </w:r>
    </w:p>
    <w:p>
      <w:pPr>
        <w:numPr>
          <w:ilvl w:val="0"/>
          <w:numId w:val="1003"/>
        </w:numPr>
        <w:pStyle w:val="Compact"/>
      </w:pPr>
      <w:r>
        <w:t xml:space="preserve">The</w:t>
      </w:r>
      <w:r>
        <w:t xml:space="preserve"> </w:t>
      </w:r>
      <w:r>
        <w:t xml:space="preserve">Business Consultant</w:t>
      </w:r>
      <w:r>
        <w:t xml:space="preserve"> </w:t>
      </w:r>
      <w:r>
        <w:t xml:space="preserve">shall adhere to all applicable Japanese labor laws, data protection regulations (APPI), and confidentiality obligations specific to operations in Japan Osaka.</w:t>
      </w:r>
    </w:p>
    <w:p>
      <w:pPr>
        <w:numPr>
          <w:ilvl w:val="0"/>
          <w:numId w:val="1003"/>
        </w:numPr>
        <w:pStyle w:val="Compact"/>
      </w:pPr>
      <w:r>
        <w:t xml:space="preserve">Any scope changes exceeding 10% of the originally estimated hours will require a supplementary</w:t>
      </w:r>
      <w:r>
        <w:t xml:space="preserve"> </w:t>
      </w:r>
      <w:r>
        <w:t xml:space="preserve">Quotation Estimate</w:t>
      </w:r>
      <w:r>
        <w:t xml:space="preserve"> </w:t>
      </w:r>
      <w:r>
        <w:t xml:space="preserve">and written client approval before additional work commences.</w:t>
      </w:r>
    </w:p>
    <w:p>
      <w:pPr>
        <w:numPr>
          <w:ilvl w:val="0"/>
          <w:numId w:val="1003"/>
        </w:numPr>
        <w:pStyle w:val="Compact"/>
      </w:pPr>
      <w:r>
        <w:t xml:space="preserve">Force majeure events, including but not limited to natural disasters affecting the Japan Osaka region, shall be addressed per the standard force majeure clause in the master service agreement.</w:t>
      </w:r>
    </w:p>
    <w:p>
      <w:pPr>
        <w:numPr>
          <w:ilvl w:val="0"/>
          <w:numId w:val="1003"/>
        </w:numPr>
        <w:pStyle w:val="Compact"/>
      </w:pPr>
      <w:r>
        <w:t xml:space="preserve">Disputes arising from this engagement shall be resolved through mediation in Osaka, Japan, in accordance with the laws of Japan.</w:t>
      </w:r>
    </w:p>
    <w:p>
      <w:pPr>
        <w:pStyle w:val="FirstParagraph"/>
      </w:pPr>
      <w:r>
        <w:t xml:space="preserve">6. Acceptance &amp; Authorization</w:t>
      </w:r>
    </w:p>
    <w:p>
      <w:pPr>
        <w:pStyle w:val="BodyText"/>
      </w:pPr>
      <w:r>
        <w:t xml:space="preserve">By signing below, both parties acknowledge and agree to the terms set forth in this</w:t>
      </w:r>
      <w:r>
        <w:t xml:space="preserve"> </w:t>
      </w:r>
      <w:r>
        <w:t xml:space="preserve">Quotation Estimate</w:t>
      </w:r>
      <w:r>
        <w:t xml:space="preserve"> </w:t>
      </w:r>
      <w:r>
        <w:t xml:space="preserve">for the</w:t>
      </w:r>
      <w:r>
        <w:t xml:space="preserve"> </w:t>
      </w:r>
      <w:r>
        <w:t xml:space="preserve">Business Consultant</w:t>
      </w:r>
      <w:r>
        <w:t xml:space="preserve"> </w:t>
      </w:r>
      <w:r>
        <w:t xml:space="preserve">services to be delivered in</w:t>
      </w:r>
      <w:r>
        <w:t xml:space="preserve"> </w:t>
      </w:r>
      <w:r>
        <w:t xml:space="preserve">Japan Osaka</w:t>
      </w:r>
      <w:r>
        <w:t xml:space="preserve">. This document, once countersigned, shall constitute a binding commercial proposal.</w:t>
      </w:r>
    </w:p>
    <w:p>
      <w:pPr>
        <w:pStyle w:val="BodyText"/>
      </w:pPr>
      <w:r>
        <w:rPr>
          <w:bCs/>
          <w:b/>
        </w:rPr>
        <w:t xml:space="preserve">For: Osaka Strategic Advisory Group</w:t>
      </w:r>
      <w:r>
        <w:br/>
      </w:r>
      <w:r>
        <w:t xml:space="preserve">Name: Kenji Tanaka</w:t>
      </w:r>
      <w:r>
        <w:br/>
      </w:r>
      <w:r>
        <w:t xml:space="preserve">Title: Managing Director</w:t>
      </w:r>
      <w:r>
        <w:br/>
      </w:r>
      <w:r>
        <w:t xml:space="preserve">Date: _______________</w:t>
      </w:r>
    </w:p>
    <w:p>
      <w:pPr>
        <w:pStyle w:val="BodyText"/>
      </w:pPr>
      <w:r>
        <w:rPr>
          <w:bCs/>
          <w:b/>
        </w:rPr>
        <w:t xml:space="preserve">For: Kansai Global Trading Co., Ltd.</w:t>
      </w:r>
      <w:r>
        <w:br/>
      </w:r>
      <w:r>
        <w:t xml:space="preserve">Name: Hiroshi Yamamoto</w:t>
      </w:r>
      <w:r>
        <w:br/>
      </w:r>
      <w:r>
        <w:t xml:space="preserve">Title: Chief Executive Officer</w:t>
      </w:r>
      <w:r>
        <w:br/>
      </w:r>
      <w:r>
        <w:t xml:space="preserve">Date: _______________</w:t>
      </w:r>
    </w:p>
    <w:p>
      <w:pPr>
        <w:pStyle w:val="BodyText"/>
      </w:pPr>
      <w:r>
        <w:t xml:space="preserve">Quotation Estimate No. QTE-2025-OSK-0472 | Osaka Strategic Advisory Group | Japan Osaka</w:t>
      </w:r>
    </w:p>
    <w:p>
      <w:pPr>
        <w:pStyle w:val="BodyText"/>
      </w:pPr>
      <w:r>
        <w:t xml:space="preserve">This document is confidential and intended solely for the named recipient. Unauthorized distribution is prohibited.</w:t>
      </w:r>
    </w:p>
    <w:p>
      <w:pPr>
        <w:pStyle w:val="BodyText"/>
      </w:pPr>
      <w:r>
        <w:t xml:space="preserve">© 2025 Osaka Strategic Advisory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Japan Osaka</dc:title>
  <dc:creator/>
  <dc:language>en</dc:language>
  <cp:keywords/>
  <dcterms:created xsi:type="dcterms:W3CDTF">2026-10-10T03:15:47Z</dcterms:created>
  <dcterms:modified xsi:type="dcterms:W3CDTF">2026-10-10T03:15:47Z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