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rPr>
          <w:bCs/>
          <w:b/>
        </w:rPr>
        <w:t xml:space="preserve">Meridian Strategic Advisory Group Co., Ltd.</w:t>
      </w:r>
    </w:p>
    <w:p>
      <w:pPr>
        <w:pStyle w:val="BodyText"/>
      </w:pPr>
      <w:r>
        <w:t xml:space="preserve">Address: 14F, Marunouchi Building, 2-7-1 Nihonbashi-Muromachi, Chuo-ku, Tokyo 103-0022, Japan</w:t>
      </w:r>
    </w:p>
    <w:p>
      <w:pPr>
        <w:pStyle w:val="BodyText"/>
      </w:pPr>
      <w:r>
        <w:t xml:space="preserve">Tel: +81-3-5555-0142  |  Email: estimates@meridian-advisory.jp  |  Corp. No.: 4010001234567</w:t>
      </w:r>
    </w:p>
    <w:bookmarkEnd w:id="20"/>
    <w:bookmarkStart w:id="21" w:name="prepared-for-client"/>
    <w:p>
      <w:pPr>
        <w:pStyle w:val="Heading3"/>
      </w:pPr>
      <w:r>
        <w:t xml:space="preserve">Prepared For (Client)</w:t>
      </w:r>
    </w:p>
    <w:p>
      <w:pPr>
        <w:pStyle w:val="FirstParagraph"/>
      </w:pPr>
      <w:r>
        <w:rPr>
          <w:bCs/>
          <w:b/>
        </w:rPr>
        <w:t xml:space="preserve">Client Name:</w:t>
      </w:r>
      <w:r>
        <w:t xml:space="preserve"> </w:t>
      </w:r>
      <w:r>
        <w:t xml:space="preserve">[Client Company Name] K.K.</w:t>
      </w:r>
    </w:p>
    <w:p>
      <w:pPr>
        <w:pStyle w:val="BodyText"/>
      </w:pPr>
      <w:r>
        <w:rPr>
          <w:bCs/>
          <w:b/>
        </w:rPr>
        <w:t xml:space="preserve">Attention:</w:t>
      </w:r>
      <w:r>
        <w:t xml:space="preserve"> </w:t>
      </w:r>
      <w:r>
        <w:t xml:space="preserve">[Contact Person], Managing Director</w:t>
      </w:r>
    </w:p>
    <w:p>
      <w:pPr>
        <w:pStyle w:val="BodyText"/>
      </w:pPr>
      <w:r>
        <w:rPr>
          <w:bCs/>
          <w:b/>
        </w:rPr>
        <w:t xml:space="preserve">Address:</w:t>
      </w:r>
      <w:r>
        <w:t xml:space="preserve"> </w:t>
      </w:r>
      <w:r>
        <w:t xml:space="preserve">[Street Address], [Ward], Tokyo, Japan</w:t>
      </w:r>
    </w:p>
    <w:p>
      <w:pPr>
        <w:pStyle w:val="BodyText"/>
      </w:pPr>
      <w:r>
        <w:rPr>
          <w:bCs/>
          <w:b/>
        </w:rPr>
        <w:t xml:space="preserve">Email:</w:t>
      </w:r>
      <w:r>
        <w:t xml:space="preserve"> </w:t>
      </w:r>
      <w:r>
        <w:t xml:space="preserve">[client.email@company.jp]</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QE-2025-TKY-0487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Japan Tokyo (Chuo-ku / Minato-ku offices)</w:t>
      </w:r>
    </w:p>
    <w:p>
      <w:pPr>
        <w:pStyle w:val="BodyText"/>
      </w:pPr>
      <w:r>
        <w:rPr>
          <w:bCs/>
          <w:b/>
        </w:rPr>
        <w:t xml:space="preserve">Prepared By:</w:t>
      </w:r>
      <w:r>
        <w:t xml:space="preserve"> </w:t>
      </w:r>
      <w:r>
        <w:t xml:space="preserve">Kenji Tanaka, Senior Business Consultant</w:t>
      </w:r>
    </w:p>
    <w:bookmarkEnd w:id="22"/>
    <w:p>
      <w:pPr>
        <w:pStyle w:val="BodyText"/>
      </w:pPr>
      <w:r>
        <w:t xml:space="preserve">Dear Sir/Madam,</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Business Consultant</w:t>
      </w:r>
      <w:r>
        <w:t xml:space="preserve"> </w:t>
      </w:r>
      <w:r>
        <w:t xml:space="preserve">services to be delivered in</w:t>
      </w:r>
      <w:r>
        <w:t xml:space="preserve"> </w:t>
      </w:r>
      <w:r>
        <w:t xml:space="preserve">Japan Tokyo</w:t>
      </w:r>
      <w:r>
        <w:t xml:space="preserve">. Meridian Strategic Advisory Group is pleased to present the following detailed scope of work, fee structure, and terms governing our engagement. This document constitutes a formal</w:t>
      </w:r>
      <w:r>
        <w:t xml:space="preserve"> </w:t>
      </w:r>
      <w:r>
        <w:t xml:space="preserve">Quotation Estimate</w:t>
      </w:r>
      <w:r>
        <w:t xml:space="preserve"> </w:t>
      </w:r>
      <w:r>
        <w:t xml:space="preserve">and remains valid for thirty (30) calendar days from the date of issue unless otherwise stated in writing.</w:t>
      </w:r>
    </w:p>
    <w:bookmarkStart w:id="23" w:name="Xc2babc535b52586257c3ba56ade1f164644233f"/>
    <w:p>
      <w:pPr>
        <w:pStyle w:val="Heading2"/>
      </w:pPr>
      <w:r>
        <w:t xml:space="preserve">1. Scope of Services – Business Consultant Engagement in Japan Tokyo</w:t>
      </w:r>
    </w:p>
    <w:p>
      <w:pPr>
        <w:pStyle w:val="FirstParagraph"/>
      </w:pPr>
      <w:r>
        <w:t xml:space="preserve">As your dedicated</w:t>
      </w:r>
      <w:r>
        <w:t xml:space="preserve"> </w:t>
      </w:r>
      <w:r>
        <w:t xml:space="preserve">Business Consultant</w:t>
      </w:r>
      <w:r>
        <w:t xml:space="preserve">, Meridian Strategic Advisory Group will provide comprehensive advisory services tailored to the unique regulatory, cultural, and market environment of</w:t>
      </w:r>
      <w:r>
        <w:t xml:space="preserve"> </w:t>
      </w:r>
      <w:r>
        <w:t xml:space="preserve">Japan Tokyo</w:t>
      </w:r>
      <w:r>
        <w:t xml:space="preserve">. The scope of work encompasses the following deliverables:</w:t>
      </w:r>
    </w:p>
    <w:p>
      <w:pPr>
        <w:numPr>
          <w:ilvl w:val="0"/>
          <w:numId w:val="1001"/>
        </w:numPr>
        <w:pStyle w:val="Compact"/>
      </w:pPr>
      <w:r>
        <w:rPr>
          <w:bCs/>
          <w:b/>
        </w:rPr>
        <w:t xml:space="preserve">Strategic Business Planning:</w:t>
      </w:r>
      <w:r>
        <w:t xml:space="preserve"> </w:t>
      </w:r>
      <w:r>
        <w:t xml:space="preserve">Development of a three-year strategic roadmap aligned with Tokyo metropolitan market dynamics, including competitive analysis of key sectors in Chuo-ku, Minato-ku, and Shinjuku-ku.</w:t>
      </w:r>
    </w:p>
    <w:p>
      <w:pPr>
        <w:numPr>
          <w:ilvl w:val="0"/>
          <w:numId w:val="1001"/>
        </w:numPr>
        <w:pStyle w:val="Compact"/>
      </w:pPr>
      <w:r>
        <w:rPr>
          <w:bCs/>
          <w:b/>
        </w:rPr>
        <w:t xml:space="preserve">Operational Efficiency Review:</w:t>
      </w:r>
      <w:r>
        <w:t xml:space="preserve"> </w:t>
      </w:r>
      <w:r>
        <w:t xml:space="preserve">On-site assessment of current business processes at the client's Japan Tokyo office, identification of bottlenecks, and implementation of lean management frameworks.</w:t>
      </w:r>
    </w:p>
    <w:p>
      <w:pPr>
        <w:numPr>
          <w:ilvl w:val="0"/>
          <w:numId w:val="1001"/>
        </w:numPr>
        <w:pStyle w:val="Compact"/>
      </w:pPr>
      <w:r>
        <w:rPr>
          <w:bCs/>
          <w:b/>
        </w:rPr>
        <w:t xml:space="preserve">Regulatory &amp; Compliance Advisory:</w:t>
      </w:r>
      <w:r>
        <w:t xml:space="preserve"> </w:t>
      </w:r>
      <w:r>
        <w:t xml:space="preserve">Guidance on Japanese corporate law, tax obligations, labor regulations, and industry-specific compliance requirements applicable to operations in Japan Tokyo.</w:t>
      </w:r>
    </w:p>
    <w:p>
      <w:pPr>
        <w:numPr>
          <w:ilvl w:val="0"/>
          <w:numId w:val="1001"/>
        </w:numPr>
        <w:pStyle w:val="Compact"/>
      </w:pPr>
      <w:r>
        <w:rPr>
          <w:bCs/>
          <w:b/>
        </w:rPr>
        <w:t xml:space="preserve">Market Entry &amp; Expansion Strategy:</w:t>
      </w:r>
      <w:r>
        <w:t xml:space="preserve"> </w:t>
      </w:r>
      <w:r>
        <w:t xml:space="preserve">Feasibility studies, local partner identification, and go-to-market planning for expansion within the greater Tokyo metropolitan area.</w:t>
      </w:r>
    </w:p>
    <w:p>
      <w:pPr>
        <w:numPr>
          <w:ilvl w:val="0"/>
          <w:numId w:val="1001"/>
        </w:numPr>
        <w:pStyle w:val="Compact"/>
      </w:pPr>
      <w:r>
        <w:rPr>
          <w:bCs/>
          <w:b/>
        </w:rPr>
        <w:t xml:space="preserve">Organizational Development:</w:t>
      </w:r>
      <w:r>
        <w:t xml:space="preserve"> </w:t>
      </w:r>
      <w:r>
        <w:t xml:space="preserve">Leadership coaching, team restructuring recommendations, and performance management system design suited to Japanese corporate culture.</w:t>
      </w:r>
    </w:p>
    <w:p>
      <w:pPr>
        <w:numPr>
          <w:ilvl w:val="0"/>
          <w:numId w:val="1001"/>
        </w:numPr>
        <w:pStyle w:val="Compact"/>
      </w:pPr>
      <w:r>
        <w:rPr>
          <w:bCs/>
          <w:b/>
        </w:rPr>
        <w:t xml:space="preserve">Financial Modeling &amp; Forecasting:</w:t>
      </w:r>
      <w:r>
        <w:t xml:space="preserve"> </w:t>
      </w:r>
      <w:r>
        <w:t xml:space="preserve">Construction of detailed financial projections, cash-flow analyses, and investment return models for the Japan Tokyo operation.</w:t>
      </w:r>
    </w:p>
    <w:bookmarkEnd w:id="23"/>
    <w:bookmarkStart w:id="24" w:name="itemized-fee-schedule"/>
    <w:p>
      <w:pPr>
        <w:pStyle w:val="Heading2"/>
      </w:pPr>
      <w:r>
        <w:t xml:space="preserve">2. Itemized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Discovery &amp; Diagnostic Assessment (Japan Tokyo site visit)</w:t>
            </w:r>
          </w:p>
        </w:tc>
        <w:tc>
          <w:tcPr/>
          <w:p>
            <w:pPr>
              <w:pStyle w:val="Compact"/>
              <w:jc w:val="left"/>
            </w:pPr>
            <w:r>
              <w:t xml:space="preserve">2 weeks</w:t>
            </w:r>
          </w:p>
        </w:tc>
        <w:tc>
          <w:tcPr/>
          <w:p>
            <w:pPr>
              <w:pStyle w:val="Compact"/>
              <w:jc w:val="left"/>
            </w:pPr>
            <w:r>
              <w:t xml:space="preserve">180,000 / day</w:t>
            </w:r>
          </w:p>
        </w:tc>
        <w:tc>
          <w:tcPr/>
          <w:p>
            <w:pPr>
              <w:pStyle w:val="Compact"/>
              <w:jc w:val="left"/>
            </w:pPr>
            <w:r>
              <w:t xml:space="preserve">3,600,000</w:t>
            </w:r>
          </w:p>
        </w:tc>
        <w:tc>
          <w:tcPr/>
          <w:p>
            <w:pPr>
              <w:pStyle w:val="Compact"/>
              <w:jc w:val="left"/>
            </w:pPr>
            <w:r>
              <w:t xml:space="preserve">Includes 5 business days on-site in Tokyo</w:t>
            </w:r>
          </w:p>
        </w:tc>
      </w:tr>
      <w:tr>
        <w:tc>
          <w:tcPr/>
          <w:p>
            <w:pPr>
              <w:pStyle w:val="Compact"/>
              <w:jc w:val="left"/>
            </w:pPr>
            <w:r>
              <w:t xml:space="preserve">2</w:t>
            </w:r>
          </w:p>
        </w:tc>
        <w:tc>
          <w:tcPr/>
          <w:p>
            <w:pPr>
              <w:pStyle w:val="Compact"/>
              <w:jc w:val="left"/>
            </w:pPr>
            <w:r>
              <w:t xml:space="preserve">Strategic Business Plan Development &amp; Presentation</w:t>
            </w:r>
          </w:p>
        </w:tc>
        <w:tc>
          <w:tcPr/>
          <w:p>
            <w:pPr>
              <w:pStyle w:val="Compact"/>
              <w:jc w:val="left"/>
            </w:pPr>
            <w:r>
              <w:t xml:space="preserve">4 weeks</w:t>
            </w:r>
          </w:p>
        </w:tc>
        <w:tc>
          <w:tcPr/>
          <w:p>
            <w:pPr>
              <w:pStyle w:val="Compact"/>
              <w:jc w:val="left"/>
            </w:pPr>
            <w:r>
              <w:t xml:space="preserve">150,000 / day</w:t>
            </w:r>
          </w:p>
        </w:tc>
        <w:tc>
          <w:tcPr/>
          <w:p>
            <w:pPr>
              <w:pStyle w:val="Compact"/>
              <w:jc w:val="left"/>
            </w:pPr>
            <w:r>
              <w:t xml:space="preserve">3,000,000</w:t>
            </w:r>
          </w:p>
        </w:tc>
        <w:tc>
          <w:tcPr/>
          <w:p>
            <w:pPr>
              <w:pStyle w:val="Compact"/>
              <w:jc w:val="left"/>
            </w:pPr>
            <w:r>
              <w:t xml:space="preserve">Deliverable: 80-page strategic document</w:t>
            </w:r>
          </w:p>
        </w:tc>
      </w:tr>
      <w:tr>
        <w:tc>
          <w:tcPr/>
          <w:p>
            <w:pPr>
              <w:pStyle w:val="Compact"/>
              <w:jc w:val="left"/>
            </w:pPr>
            <w:r>
              <w:t xml:space="preserve">3</w:t>
            </w:r>
          </w:p>
        </w:tc>
        <w:tc>
          <w:tcPr/>
          <w:p>
            <w:pPr>
              <w:pStyle w:val="Compact"/>
              <w:jc w:val="left"/>
            </w:pPr>
            <w:r>
              <w:t xml:space="preserve">Operational Efficiency Audit &amp; Process Redesign</w:t>
            </w:r>
          </w:p>
        </w:tc>
        <w:tc>
          <w:tcPr/>
          <w:p>
            <w:pPr>
              <w:pStyle w:val="Compact"/>
              <w:jc w:val="left"/>
            </w:pPr>
            <w:r>
              <w:t xml:space="preserve">3 weeks</w:t>
            </w:r>
          </w:p>
        </w:tc>
        <w:tc>
          <w:tcPr/>
          <w:p>
            <w:pPr>
              <w:pStyle w:val="Compact"/>
              <w:jc w:val="left"/>
            </w:pPr>
            <w:r>
              <w:t xml:space="preserve">150,000 / day</w:t>
            </w:r>
          </w:p>
        </w:tc>
        <w:tc>
          <w:tcPr/>
          <w:p>
            <w:pPr>
              <w:pStyle w:val="Compact"/>
              <w:jc w:val="left"/>
            </w:pPr>
            <w:r>
              <w:t xml:space="preserve">2,250,000</w:t>
            </w:r>
          </w:p>
        </w:tc>
        <w:tc>
          <w:tcPr/>
          <w:p>
            <w:pPr>
              <w:pStyle w:val="Compact"/>
              <w:jc w:val="left"/>
            </w:pPr>
            <w:r>
              <w:t xml:space="preserve">Includes workflow mapping and KPI framework</w:t>
            </w:r>
          </w:p>
        </w:tc>
      </w:tr>
      <w:tr>
        <w:tc>
          <w:tcPr/>
          <w:p>
            <w:pPr>
              <w:pStyle w:val="Compact"/>
              <w:jc w:val="left"/>
            </w:pPr>
            <w:r>
              <w:t xml:space="preserve">4</w:t>
            </w:r>
          </w:p>
        </w:tc>
        <w:tc>
          <w:tcPr/>
          <w:p>
            <w:pPr>
              <w:pStyle w:val="Compact"/>
              <w:jc w:val="left"/>
            </w:pPr>
            <w:r>
              <w:t xml:space="preserve">Regulatory &amp; Compliance Advisory (Japan Tokyo jurisdiction)</w:t>
            </w:r>
          </w:p>
        </w:tc>
        <w:tc>
          <w:tcPr/>
          <w:p>
            <w:pPr>
              <w:pStyle w:val="Compact"/>
              <w:jc w:val="left"/>
            </w:pPr>
            <w:r>
              <w:t xml:space="preserve">2 weeks</w:t>
            </w:r>
          </w:p>
        </w:tc>
        <w:tc>
          <w:tcPr/>
          <w:p>
            <w:pPr>
              <w:pStyle w:val="Compact"/>
              <w:jc w:val="left"/>
            </w:pPr>
            <w:r>
              <w:t xml:space="preserve">200,000 / day</w:t>
            </w:r>
          </w:p>
        </w:tc>
        <w:tc>
          <w:tcPr/>
          <w:p>
            <w:pPr>
              <w:pStyle w:val="Compact"/>
              <w:jc w:val="left"/>
            </w:pPr>
            <w:r>
              <w:t xml:space="preserve">2,000,000</w:t>
            </w:r>
          </w:p>
        </w:tc>
        <w:tc>
          <w:tcPr/>
          <w:p>
            <w:pPr>
              <w:pStyle w:val="Compact"/>
              <w:jc w:val="left"/>
            </w:pPr>
            <w:r>
              <w:t xml:space="preserve">Specialist tax &amp; labor law consultation</w:t>
            </w:r>
          </w:p>
        </w:tc>
      </w:tr>
      <w:tr>
        <w:tc>
          <w:tcPr/>
          <w:p>
            <w:pPr>
              <w:pStyle w:val="Compact"/>
              <w:jc w:val="left"/>
            </w:pPr>
            <w:r>
              <w:t xml:space="preserve">5</w:t>
            </w:r>
          </w:p>
        </w:tc>
        <w:tc>
          <w:tcPr/>
          <w:p>
            <w:pPr>
              <w:pStyle w:val="Compact"/>
              <w:jc w:val="left"/>
            </w:pPr>
            <w:r>
              <w:t xml:space="preserve">Market Entry Feasibility Study (Greater Tokyo Area)</w:t>
            </w:r>
          </w:p>
        </w:tc>
        <w:tc>
          <w:tcPr/>
          <w:p>
            <w:pPr>
              <w:pStyle w:val="Compact"/>
              <w:jc w:val="left"/>
            </w:pPr>
            <w:r>
              <w:t xml:space="preserve">3 weeks</w:t>
            </w:r>
          </w:p>
        </w:tc>
        <w:tc>
          <w:tcPr/>
          <w:p>
            <w:pPr>
              <w:pStyle w:val="Compact"/>
              <w:jc w:val="left"/>
            </w:pPr>
            <w:r>
              <w:t xml:space="preserve">150,000 / day</w:t>
            </w:r>
          </w:p>
        </w:tc>
        <w:tc>
          <w:tcPr/>
          <w:p>
            <w:pPr>
              <w:pStyle w:val="Compact"/>
              <w:jc w:val="left"/>
            </w:pPr>
            <w:r>
              <w:t xml:space="preserve">2,250,000</w:t>
            </w:r>
          </w:p>
        </w:tc>
        <w:tc>
          <w:tcPr/>
          <w:p>
            <w:pPr>
              <w:pStyle w:val="Compact"/>
              <w:jc w:val="left"/>
            </w:pPr>
            <w:r>
              <w:t xml:space="preserve">Includes competitor benchmarking</w:t>
            </w:r>
          </w:p>
        </w:tc>
      </w:tr>
      <w:tr>
        <w:tc>
          <w:tcPr/>
          <w:p>
            <w:pPr>
              <w:pStyle w:val="Compact"/>
              <w:jc w:val="left"/>
            </w:pPr>
            <w:r>
              <w:t xml:space="preserve">6</w:t>
            </w:r>
          </w:p>
        </w:tc>
        <w:tc>
          <w:tcPr/>
          <w:p>
            <w:pPr>
              <w:pStyle w:val="Compact"/>
              <w:jc w:val="left"/>
            </w:pPr>
            <w:r>
              <w:t xml:space="preserve">Organizational Development &amp; Leadership Coaching</w:t>
            </w:r>
          </w:p>
        </w:tc>
        <w:tc>
          <w:tcPr/>
          <w:p>
            <w:pPr>
              <w:pStyle w:val="Compact"/>
              <w:jc w:val="left"/>
            </w:pPr>
            <w:r>
              <w:t xml:space="preserve">4 weeks</w:t>
            </w:r>
          </w:p>
        </w:tc>
        <w:tc>
          <w:tcPr/>
          <w:p>
            <w:pPr>
              <w:pStyle w:val="Compact"/>
              <w:jc w:val="left"/>
            </w:pPr>
            <w:r>
              <w:t xml:space="preserve">120,000 / day</w:t>
            </w:r>
          </w:p>
        </w:tc>
        <w:tc>
          <w:tcPr/>
          <w:p>
            <w:pPr>
              <w:pStyle w:val="Compact"/>
              <w:jc w:val="left"/>
            </w:pPr>
            <w:r>
              <w:t xml:space="preserve">2,400,000</w:t>
            </w:r>
          </w:p>
        </w:tc>
        <w:tc>
          <w:tcPr/>
          <w:p>
            <w:pPr>
              <w:pStyle w:val="Compact"/>
              <w:jc w:val="left"/>
            </w:pPr>
            <w:r>
              <w:t xml:space="preserve">Up to 10 senior staff sessions</w:t>
            </w:r>
          </w:p>
        </w:tc>
      </w:tr>
      <w:tr>
        <w:tc>
          <w:tcPr/>
          <w:p>
            <w:pPr>
              <w:pStyle w:val="Compact"/>
              <w:jc w:val="left"/>
            </w:pPr>
            <w:r>
              <w:t xml:space="preserve">7</w:t>
            </w:r>
          </w:p>
        </w:tc>
        <w:tc>
          <w:tcPr/>
          <w:p>
            <w:pPr>
              <w:pStyle w:val="Compact"/>
              <w:jc w:val="left"/>
            </w:pPr>
            <w:r>
              <w:t xml:space="preserve">Financial Modeling &amp; 3-Year Forecast</w:t>
            </w:r>
          </w:p>
        </w:tc>
        <w:tc>
          <w:tcPr/>
          <w:p>
            <w:pPr>
              <w:pStyle w:val="Compact"/>
              <w:jc w:val="left"/>
            </w:pPr>
            <w:r>
              <w:t xml:space="preserve">2 weeks</w:t>
            </w:r>
          </w:p>
        </w:tc>
        <w:tc>
          <w:tcPr/>
          <w:p>
            <w:pPr>
              <w:pStyle w:val="Compact"/>
              <w:jc w:val="left"/>
            </w:pPr>
            <w:r>
              <w:t xml:space="preserve">180,000 / day</w:t>
            </w:r>
          </w:p>
        </w:tc>
        <w:tc>
          <w:tcPr/>
          <w:p>
            <w:pPr>
              <w:pStyle w:val="Compact"/>
              <w:jc w:val="left"/>
            </w:pPr>
            <w:r>
              <w:t xml:space="preserve">1,800,000</w:t>
            </w:r>
          </w:p>
        </w:tc>
        <w:tc>
          <w:tcPr/>
          <w:p>
            <w:pPr>
              <w:pStyle w:val="Compact"/>
              <w:jc w:val="left"/>
            </w:pPr>
            <w:r>
              <w:t xml:space="preserve">Excel-based model with sensitivity analysis</w:t>
            </w:r>
          </w:p>
        </w:tc>
      </w:tr>
      <w:tr>
        <w:tc>
          <w:tcPr/>
          <w:p>
            <w:pPr>
              <w:pStyle w:val="Compact"/>
              <w:jc w:val="left"/>
            </w:pPr>
            <w:r>
              <w:t xml:space="preserve">8</w:t>
            </w:r>
          </w:p>
        </w:tc>
        <w:tc>
          <w:tcPr/>
          <w:p>
            <w:pPr>
              <w:pStyle w:val="Compact"/>
              <w:jc w:val="left"/>
            </w:pPr>
            <w:r>
              <w:t xml:space="preserve">Ongoing Advisory Retainer (post-engagement, 6 months)</w:t>
            </w:r>
          </w:p>
        </w:tc>
        <w:tc>
          <w:tcPr/>
          <w:p>
            <w:pPr>
              <w:pStyle w:val="Compact"/>
              <w:jc w:val="left"/>
            </w:pPr>
            <w:r>
              <w:t xml:space="preserve">6 months</w:t>
            </w:r>
          </w:p>
        </w:tc>
        <w:tc>
          <w:tcPr/>
          <w:p>
            <w:pPr>
              <w:pStyle w:val="Compact"/>
              <w:jc w:val="left"/>
            </w:pPr>
            <w:r>
              <w:t xml:space="preserve">300,000 / month</w:t>
            </w:r>
          </w:p>
        </w:tc>
        <w:tc>
          <w:tcPr/>
          <w:p>
            <w:pPr>
              <w:pStyle w:val="Compact"/>
              <w:jc w:val="left"/>
            </w:pPr>
            <w:r>
              <w:t xml:space="preserve">1,800,000</w:t>
            </w:r>
          </w:p>
        </w:tc>
        <w:tc>
          <w:tcPr/>
          <w:p>
            <w:pPr>
              <w:pStyle w:val="Compact"/>
              <w:jc w:val="left"/>
            </w:pPr>
            <w:r>
              <w:t xml:space="preserve">Monthly check-in + email support</w:t>
            </w:r>
          </w:p>
        </w:tc>
      </w:tr>
      <w:tr>
        <w:tc>
          <w:tcPr/>
          <w:p>
            <w:pPr>
              <w:pStyle w:val="Compact"/>
              <w:jc w:val="left"/>
            </w:pPr>
            <w:r>
              <w:t xml:space="preserve">9</w:t>
            </w:r>
          </w:p>
        </w:tc>
        <w:tc>
          <w:tcPr/>
          <w:p>
            <w:pPr>
              <w:pStyle w:val="Compact"/>
              <w:jc w:val="left"/>
            </w:pPr>
            <w:r>
              <w:t xml:space="preserve">Travel, Accommodation &amp; Local Expenses (Japan Tokyo)</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450,000</w:t>
            </w:r>
          </w:p>
        </w:tc>
        <w:tc>
          <w:tcPr/>
          <w:p>
            <w:pPr>
              <w:pStyle w:val="Compact"/>
              <w:jc w:val="left"/>
            </w:pPr>
            <w:r>
              <w:t xml:space="preserve">Estimated; subject to pre-approval</w:t>
            </w:r>
          </w:p>
        </w:tc>
      </w:tr>
      <w:tr>
        <w:tc>
          <w:tcPr>
            <w:gridSpan w:val="4"/>
          </w:tcPr>
          <w:p>
            <w:pPr>
              <w:pStyle w:val="Compact"/>
              <w:jc w:val="right"/>
            </w:pPr>
            <w:r>
              <w:t xml:space="preserve">Subtotal</w:t>
            </w:r>
          </w:p>
        </w:tc>
        <w:tc>
          <w:tcPr/>
          <w:p>
            <w:pPr>
              <w:pStyle w:val="Compact"/>
              <w:jc w:val="left"/>
            </w:pPr>
            <w:r>
              <w:t xml:space="preserve">21,550,000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2,155,000</w:t>
            </w:r>
          </w:p>
        </w:tc>
        <w:tc>
          <w:tcPr/>
          <w:p>
            <w:pPr>
              <w:pStyle w:val="Compact"/>
            </w:pPr>
          </w:p>
        </w:tc>
      </w:tr>
      <w:tr>
        <w:tc>
          <w:tcPr>
            <w:gridSpan w:val="4"/>
          </w:tcPr>
          <w:p>
            <w:pPr>
              <w:pStyle w:val="Compact"/>
              <w:jc w:val="right"/>
            </w:pPr>
            <w:r>
              <w:t xml:space="preserve">TOTAL (JPY)</w:t>
            </w:r>
          </w:p>
        </w:tc>
        <w:tc>
          <w:tcPr/>
          <w:p>
            <w:pPr>
              <w:pStyle w:val="Compact"/>
              <w:jc w:val="left"/>
            </w:pPr>
            <w:r>
              <w:t xml:space="preserve">23,705,000</w:t>
            </w:r>
          </w:p>
        </w:tc>
        <w:tc>
          <w:tcPr/>
          <w:p>
            <w:pPr>
              <w:pStyle w:val="Compact"/>
              <w:jc w:val="left"/>
            </w:pPr>
            <w:r>
              <w:t xml:space="preserve">≈ USD 158,000</w:t>
            </w:r>
          </w:p>
        </w:tc>
      </w:tr>
    </w:tbl>
    <w:bookmarkEnd w:id="24"/>
    <w:bookmarkStart w:id="25" w:name="payment-terms"/>
    <w:p>
      <w:pPr>
        <w:pStyle w:val="Heading2"/>
      </w:pPr>
      <w:r>
        <w:t xml:space="preserve">3. Payment Terms</w:t>
      </w:r>
    </w:p>
    <w:p>
      <w:pPr>
        <w:numPr>
          <w:ilvl w:val="0"/>
          <w:numId w:val="1002"/>
        </w:numPr>
        <w:pStyle w:val="Compact"/>
      </w:pPr>
      <w:r>
        <w:rPr>
          <w:bCs/>
          <w:b/>
        </w:rPr>
        <w:t xml:space="preserve">Advance Payment:</w:t>
      </w:r>
      <w:r>
        <w:t xml:space="preserve"> </w:t>
      </w:r>
      <w:r>
        <w:t xml:space="preserve">30% of the total Quotation Estimate amount (JPY 7,111,500) due within 10 business days of contract execution.</w:t>
      </w:r>
    </w:p>
    <w:p>
      <w:pPr>
        <w:numPr>
          <w:ilvl w:val="0"/>
          <w:numId w:val="1002"/>
        </w:numPr>
        <w:pStyle w:val="Compact"/>
      </w:pPr>
      <w:r>
        <w:rPr>
          <w:bCs/>
          <w:b/>
        </w:rPr>
        <w:t xml:space="preserve">Milestone Payments:</w:t>
      </w:r>
      <w:r>
        <w:t xml:space="preserve"> </w:t>
      </w:r>
      <w:r>
        <w:t xml:space="preserve">40% payable upon completion of the Strategic Business Plan and Operational Efficiency Audit deliverables.</w:t>
      </w:r>
    </w:p>
    <w:p>
      <w:pPr>
        <w:numPr>
          <w:ilvl w:val="0"/>
          <w:numId w:val="1002"/>
        </w:numPr>
        <w:pStyle w:val="Compact"/>
      </w:pPr>
      <w:r>
        <w:rPr>
          <w:bCs/>
          <w:b/>
        </w:rPr>
        <w:t xml:space="preserve">Final Payment:</w:t>
      </w:r>
      <w:r>
        <w:t xml:space="preserve"> </w:t>
      </w:r>
      <w:r>
        <w:t xml:space="preserve">Remaining 30% due within 15 business days of final project delivery and client sign-off.</w:t>
      </w:r>
    </w:p>
    <w:p>
      <w:pPr>
        <w:numPr>
          <w:ilvl w:val="0"/>
          <w:numId w:val="1002"/>
        </w:numPr>
        <w:pStyle w:val="Compact"/>
      </w:pPr>
      <w:r>
        <w:rPr>
          <w:bCs/>
          <w:b/>
        </w:rPr>
        <w:t xml:space="preserve">Retainer Fees:</w:t>
      </w:r>
      <w:r>
        <w:t xml:space="preserve"> </w:t>
      </w:r>
      <w:r>
        <w:t xml:space="preserve">Billed monthly in advance for the 6-month post-engagement advisory period.</w:t>
      </w:r>
    </w:p>
    <w:p>
      <w:pPr>
        <w:numPr>
          <w:ilvl w:val="0"/>
          <w:numId w:val="1002"/>
        </w:numPr>
        <w:pStyle w:val="Compact"/>
      </w:pPr>
      <w:r>
        <w:rPr>
          <w:bCs/>
          <w:b/>
        </w:rPr>
        <w:t xml:space="preserve">Payment Method:</w:t>
      </w:r>
      <w:r>
        <w:t xml:space="preserve"> </w:t>
      </w:r>
      <w:r>
        <w:t xml:space="preserve">Bank transfer to Meridian Strategic Advisory Group Co., Ltd., Mizuho Bank, Tokyo Central Branch, Account No. [XXXX-XXXX-XXXX].</w:t>
      </w:r>
    </w:p>
    <w:p>
      <w:pPr>
        <w:numPr>
          <w:ilvl w:val="0"/>
          <w:numId w:val="1002"/>
        </w:numPr>
        <w:pStyle w:val="Compact"/>
      </w:pPr>
      <w:r>
        <w:t xml:space="preserve">All amounts are denominated in Japanese Yen (JPY) and are inclusive of applicable Consumption Tax as of the date of this Quotation Estimate.</w:t>
      </w:r>
    </w:p>
    <w:bookmarkEnd w:id="25"/>
    <w:bookmarkStart w:id="26" w:name="terms-conditions"/>
    <w:p>
      <w:pPr>
        <w:pStyle w:val="Heading2"/>
      </w:pPr>
      <w:r>
        <w:t xml:space="preserve">4. Terms &amp; Conditions</w:t>
      </w:r>
    </w:p>
    <w:p>
      <w:pPr>
        <w:numPr>
          <w:ilvl w:val="0"/>
          <w:numId w:val="1003"/>
        </w:numPr>
        <w:pStyle w:val="Compact"/>
      </w:pPr>
      <w:r>
        <w:t xml:space="preserve">This Quotation Estimate is valid for 30 days from the date of issue. After the expiry date, fees and availability of the assigned Business Consultant may be subject to revision.</w:t>
      </w:r>
    </w:p>
    <w:p>
      <w:pPr>
        <w:numPr>
          <w:ilvl w:val="0"/>
          <w:numId w:val="1003"/>
        </w:numPr>
        <w:pStyle w:val="Compact"/>
      </w:pPr>
      <w:r>
        <w:t xml:space="preserve">The Business Consultant engagement will be governed by a separate Master Services Agreement (MSA) to be executed prior to commencement of work in Japan Tokyo.</w:t>
      </w:r>
    </w:p>
    <w:p>
      <w:pPr>
        <w:numPr>
          <w:ilvl w:val="0"/>
          <w:numId w:val="1003"/>
        </w:numPr>
        <w:pStyle w:val="Compact"/>
      </w:pPr>
      <w:r>
        <w:t xml:space="preserve">All intellectual property, reports, models, and deliverables produced under this engagement shall become the exclusive property of the Client upon full payment.</w:t>
      </w:r>
    </w:p>
    <w:p>
      <w:pPr>
        <w:numPr>
          <w:ilvl w:val="0"/>
          <w:numId w:val="1003"/>
        </w:numPr>
        <w:pStyle w:val="Compact"/>
      </w:pPr>
      <w:r>
        <w:t xml:space="preserve">Confidentiality: Both parties agree to maintain strict confidentiality of all business information exchanged during the engagement, in accordance with Japan's Act on the Protection of Personal Information (APPI) and applicable data protection regulations.</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(typhoons, earthquakes), government mandates, or pandemics affecting operations in Japan Tokyo.</w:t>
      </w:r>
    </w:p>
    <w:p>
      <w:pPr>
        <w:numPr>
          <w:ilvl w:val="0"/>
          <w:numId w:val="1003"/>
        </w:numPr>
        <w:pStyle w:val="Compact"/>
      </w:pPr>
      <w:r>
        <w:t xml:space="preserve">Dispute Resolution: Any disputes arising from this Quotation Estimate or the subsequent engagement shall be resolved through mediation in Tokyo, Japan, in accordance with the rules of the Japan Commercial Arbitration Association (JCAA).</w:t>
      </w:r>
    </w:p>
    <w:p>
      <w:pPr>
        <w:numPr>
          <w:ilvl w:val="0"/>
          <w:numId w:val="1003"/>
        </w:numPr>
        <w:pStyle w:val="Compact"/>
      </w:pPr>
      <w:r>
        <w:t xml:space="preserve">Termination: Either party may terminate the engagement with 30 days' written notice. Fees for work completed up to the termination date shall remain payable.</w:t>
      </w:r>
    </w:p>
    <w:p>
      <w:pPr>
        <w:numPr>
          <w:ilvl w:val="0"/>
          <w:numId w:val="1003"/>
        </w:numPr>
        <w:pStyle w:val="Compact"/>
      </w:pPr>
      <w:r>
        <w:t xml:space="preserve">This Quotation Estimate does not constitute a binding contract until both parties have executed the formal MSA and the Client has issued a written Purchase Order referencing Quotation Estimate No. QE-2025-TKY-0487.</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 Quotation Estimate and authorizes Meridian Strategic Advisory Group Co., Ltd. to proceed with the Business Consultant services described herein, to be performed in Japan Tokyo, subject to the terms and conditions outlined above.</w:t>
      </w:r>
    </w:p>
    <w:p>
      <w:pPr>
        <w:pStyle w:val="BodyText"/>
      </w:pPr>
      <w:r>
        <w:rPr>
          <w:bCs/>
          <w:b/>
        </w:rPr>
        <w:t xml:space="preserve">For: Meridian Strategic Advisory Group Co., Ltd.</w:t>
      </w:r>
    </w:p>
    <w:p>
      <w:pPr>
        <w:pStyle w:val="BodyText"/>
      </w:pPr>
      <w:r>
        <w:t xml:space="preserve">Name: Kenji Tanaka</w:t>
      </w:r>
    </w:p>
    <w:p>
      <w:pPr>
        <w:pStyle w:val="BodyText"/>
      </w:pPr>
      <w:r>
        <w:t xml:space="preserve">Title: Senior Business Consultant / Director</w:t>
      </w:r>
    </w:p>
    <w:p>
      <w:pPr>
        <w:pStyle w:val="BodyText"/>
      </w:pPr>
      <w:r>
        <w:t xml:space="preserve">Date: _______________</w:t>
      </w:r>
    </w:p>
    <w:p>
      <w:pPr>
        <w:pStyle w:val="BodyText"/>
      </w:pPr>
      <w:r>
        <w:t xml:space="preserve">Signature: _______________</w:t>
      </w:r>
    </w:p>
    <w:p>
      <w:pPr>
        <w:pStyle w:val="BodyText"/>
      </w:pPr>
      <w:r>
        <w:t xml:space="preserve">Company Seal (Hanko):</w:t>
      </w:r>
    </w:p>
    <w:p>
      <w:pPr>
        <w:pStyle w:val="BodyText"/>
      </w:pPr>
      <w:r>
        <w:rPr>
          <w:bCs/>
          <w:b/>
        </w:rPr>
        <w:t xml:space="preserve">For: [Client Company Name] K.K.</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Signature: _______________</w:t>
      </w:r>
    </w:p>
    <w:p>
      <w:pPr>
        <w:pStyle w:val="BodyText"/>
      </w:pPr>
      <w:r>
        <w:t xml:space="preserve">Company Seal (Hanko):</w:t>
      </w:r>
    </w:p>
    <w:p>
      <w:pPr>
        <w:pStyle w:val="BodyText"/>
      </w:pPr>
      <w:r>
        <w:t xml:space="preserve">Meridian Strategic Advisory Group Co., Ltd. | 14F, Marunouchi Building, 2-7-1 Nihonbashi-Muromachi, Chuo-ku, Tokyo 103-0022, Japan</w:t>
      </w:r>
    </w:p>
    <w:p>
      <w:pPr>
        <w:pStyle w:val="BodyText"/>
      </w:pPr>
      <w:r>
        <w:t xml:space="preserve">Quotation Estimate No. QE-2025-TKY-0487 | This document is confidential and intended solely for the named recipient.</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Japan Tokyo</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file>