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rPr>
          <w:bCs/>
          <w:b/>
        </w:rPr>
        <w:t xml:space="preserve">Strategic Advisory &amp; Business Consulting Services</w:t>
      </w:r>
    </w:p>
    <w:p>
      <w:pPr>
        <w:pStyle w:val="BodyText"/>
      </w:pPr>
      <w:r>
        <w:t xml:space="preserve">Prepared for Clients in Kazakhstan Almaty</w:t>
      </w:r>
    </w:p>
    <w:p>
      <w:pPr>
        <w:pStyle w:val="BodyText"/>
      </w:pPr>
      <w:r>
        <w:t xml:space="preserve">Document Reference: QE-ALM-2025-0047</w:t>
      </w:r>
    </w:p>
    <w:bookmarkEnd w:id="20"/>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Altai Business Consulting LLP</w:t>
      </w:r>
      <w:r>
        <w:br/>
      </w:r>
      <w:r>
        <w:rPr>
          <w:bCs/>
          <w:b/>
        </w:rPr>
        <w:t xml:space="preserve">Location:</w:t>
      </w:r>
      <w:r>
        <w:t xml:space="preserve"> </w:t>
      </w:r>
      <w:r>
        <w:t xml:space="preserve">Almaty, Kazakhstan</w:t>
      </w:r>
      <w:r>
        <w:br/>
      </w:r>
      <w:r>
        <w:rPr>
          <w:bCs/>
          <w:b/>
        </w:rPr>
        <w:t xml:space="preserve">Contact:</w:t>
      </w:r>
      <w:r>
        <w:t xml:space="preserve"> </w:t>
      </w:r>
      <w:r>
        <w:t xml:space="preserve">info@altai-consulting.kz</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Altai Business Consulting LLP, a registered professional services firm operating in Kazakhstan Almaty, to provide a comprehensive and transparent breakdown of costs associated with the engagement of a</w:t>
      </w:r>
      <w:r>
        <w:t xml:space="preserve"> </w:t>
      </w:r>
      <w:r>
        <w:t xml:space="preserve">Business Consultant</w:t>
      </w:r>
      <w:r>
        <w:t xml:space="preserve"> </w:t>
      </w:r>
      <w:r>
        <w:t xml:space="preserve">for strategic advisory, operational optimization, and market expansion services. This document serves as a formal</w:t>
      </w:r>
      <w:r>
        <w:t xml:space="preserve"> </w:t>
      </w:r>
      <w:r>
        <w:t xml:space="preserve">Quotation Estimate</w:t>
      </w:r>
      <w:r>
        <w:t xml:space="preserve"> </w:t>
      </w:r>
      <w:r>
        <w:t xml:space="preserve">outlining the scope of work, deliverables, timelines, and associated fees for the proposed consulting engagement in the Kazakhstan Almaty business environment.</w:t>
      </w:r>
    </w:p>
    <w:p>
      <w:pPr>
        <w:pStyle w:val="BodyText"/>
      </w:pPr>
      <w:r>
        <w:t xml:space="preserve">The</w:t>
      </w:r>
      <w:r>
        <w:t xml:space="preserve"> </w:t>
      </w:r>
      <w:r>
        <w:t xml:space="preserve">Business Consultant</w:t>
      </w:r>
      <w:r>
        <w:t xml:space="preserve"> </w:t>
      </w:r>
      <w:r>
        <w:t xml:space="preserve">services described herein are tailored specifically to the regulatory, economic, and competitive landscape of Kazakhstan Almaty, ensuring that all recommendations and strategic interventions are aligned with local market conditions, national legislation of the Republic of Kazakhstan, and the specific operational needs of the client organization.</w:t>
      </w:r>
    </w:p>
    <w:bookmarkEnd w:id="21"/>
    <w:bookmarkStart w:id="22" w:name="client-information"/>
    <w:p>
      <w:pPr>
        <w:pStyle w:val="Heading2"/>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[Client Company Name] LLP</w:t>
            </w:r>
          </w:p>
        </w:tc>
      </w:tr>
      <w:tr>
        <w:tc>
          <w:tcPr/>
          <w:p>
            <w:pPr>
              <w:pStyle w:val="Compact"/>
              <w:jc w:val="left"/>
            </w:pPr>
            <w:r>
              <w:t xml:space="preserve">Registered Address</w:t>
            </w:r>
          </w:p>
        </w:tc>
        <w:tc>
          <w:tcPr/>
          <w:p>
            <w:pPr>
              <w:pStyle w:val="Compact"/>
              <w:jc w:val="left"/>
            </w:pPr>
            <w:r>
              <w:t xml:space="preserve">Almaty, Kazakhstan</w:t>
            </w:r>
          </w:p>
        </w:tc>
      </w:tr>
      <w:tr>
        <w:tc>
          <w:tcPr/>
          <w:p>
            <w:pPr>
              <w:pStyle w:val="Compact"/>
              <w:jc w:val="left"/>
            </w:pPr>
            <w:r>
              <w:t xml:space="preserve">Industry Sector</w:t>
            </w:r>
          </w:p>
        </w:tc>
        <w:tc>
          <w:tcPr/>
          <w:p>
            <w:pPr>
              <w:pStyle w:val="Compact"/>
              <w:jc w:val="left"/>
            </w:pPr>
            <w:r>
              <w:t xml:space="preserve">Manufacturing / Trade / Services</w:t>
            </w:r>
          </w:p>
        </w:tc>
      </w:tr>
      <w:tr>
        <w:tc>
          <w:tcPr/>
          <w:p>
            <w:pPr>
              <w:pStyle w:val="Compact"/>
              <w:jc w:val="left"/>
            </w:pPr>
            <w:r>
              <w:t xml:space="preserve">Primary Contact</w:t>
            </w:r>
          </w:p>
        </w:tc>
        <w:tc>
          <w:tcPr/>
          <w:p>
            <w:pPr>
              <w:pStyle w:val="Compact"/>
              <w:jc w:val="left"/>
            </w:pPr>
            <w:r>
              <w:t xml:space="preserve">[Name], Chief Executive Officer</w:t>
            </w:r>
          </w:p>
        </w:tc>
      </w:tr>
      <w:tr>
        <w:tc>
          <w:tcPr/>
          <w:p>
            <w:pPr>
              <w:pStyle w:val="Compact"/>
              <w:jc w:val="left"/>
            </w:pPr>
            <w:r>
              <w:t xml:space="preserve">Engagement Period</w:t>
            </w:r>
          </w:p>
        </w:tc>
        <w:tc>
          <w:tcPr/>
          <w:p>
            <w:pPr>
              <w:pStyle w:val="Compact"/>
              <w:jc w:val="left"/>
            </w:pPr>
            <w:r>
              <w:t xml:space="preserve">1 August 2025 – 31 January 2026 (6 months)</w:t>
            </w:r>
          </w:p>
        </w:tc>
      </w:tr>
    </w:tbl>
    <w:bookmarkEnd w:id="22"/>
    <w:bookmarkStart w:id="23" w:name="scope-of-business-consultant-services"/>
    <w:p>
      <w:pPr>
        <w:pStyle w:val="Heading2"/>
      </w:pPr>
      <w:r>
        <w:t xml:space="preserve">3. Scope of Business Consultant Services</w:t>
      </w:r>
    </w:p>
    <w:p>
      <w:pPr>
        <w:pStyle w:val="FirstParagraph"/>
      </w:pPr>
      <w:r>
        <w:t xml:space="preserve">The</w:t>
      </w:r>
      <w:r>
        <w:t xml:space="preserve"> </w:t>
      </w:r>
      <w:r>
        <w:t xml:space="preserve">Business Consultant</w:t>
      </w:r>
      <w:r>
        <w:t xml:space="preserve"> </w:t>
      </w:r>
      <w:r>
        <w:t xml:space="preserve">engaged under this</w:t>
      </w:r>
      <w:r>
        <w:t xml:space="preserve"> </w:t>
      </w:r>
      <w:r>
        <w:t xml:space="preserve">Quotation Estimate</w:t>
      </w:r>
      <w:r>
        <w:t xml:space="preserve"> </w:t>
      </w:r>
      <w:r>
        <w:t xml:space="preserve">will deliver the following services within the Kazakhstan Almaty operational context: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(KZT)</w:t>
            </w:r>
          </w:p>
        </w:tc>
        <w:tc>
          <w:tcPr/>
          <w:p>
            <w:pPr>
              <w:pStyle w:val="Compact"/>
              <w:jc w:val="left"/>
            </w:pPr>
            <w:r>
              <w:t xml:space="preserve">Subtotal (KZT)</w:t>
            </w:r>
          </w:p>
        </w:tc>
      </w:tr>
      <w:tr>
        <w:tc>
          <w:tcPr/>
          <w:p>
            <w:pPr>
              <w:pStyle w:val="Compact"/>
              <w:jc w:val="left"/>
            </w:pPr>
            <w:r>
              <w:t xml:space="preserve">01</w:t>
            </w:r>
          </w:p>
        </w:tc>
        <w:tc>
          <w:tcPr/>
          <w:p>
            <w:pPr>
              <w:pStyle w:val="Compact"/>
              <w:jc w:val="left"/>
            </w:pPr>
            <w:r>
              <w:t xml:space="preserve">Initial Business Assessment &amp; Diagnostic Review – Comprehensive analysis of current operations, financial health, and market positioning in Kazakhstan Almaty</w:t>
            </w:r>
          </w:p>
        </w:tc>
        <w:tc>
          <w:tcPr/>
          <w:p>
            <w:pPr>
              <w:pStyle w:val="Compact"/>
              <w:jc w:val="left"/>
            </w:pPr>
            <w:r>
              <w:t xml:space="preserve">3 weeks</w:t>
            </w:r>
          </w:p>
        </w:tc>
        <w:tc>
          <w:tcPr/>
          <w:p>
            <w:pPr>
              <w:pStyle w:val="Compact"/>
              <w:jc w:val="left"/>
            </w:pPr>
            <w:r>
              <w:t xml:space="preserve">450,000 / week</w:t>
            </w:r>
          </w:p>
        </w:tc>
        <w:tc>
          <w:tcPr/>
          <w:p>
            <w:pPr>
              <w:pStyle w:val="Compact"/>
              <w:jc w:val="left"/>
            </w:pPr>
            <w:r>
              <w:t xml:space="preserve">1,350,000</w:t>
            </w:r>
          </w:p>
        </w:tc>
      </w:tr>
      <w:tr>
        <w:tc>
          <w:tcPr/>
          <w:p>
            <w:pPr>
              <w:pStyle w:val="Compact"/>
              <w:jc w:val="left"/>
            </w:pPr>
            <w:r>
              <w:t xml:space="preserve">02</w:t>
            </w:r>
          </w:p>
        </w:tc>
        <w:tc>
          <w:tcPr/>
          <w:p>
            <w:pPr>
              <w:pStyle w:val="Compact"/>
              <w:jc w:val="left"/>
            </w:pPr>
            <w:r>
              <w:t xml:space="preserve">Strategic Business Planning &amp; Market Entry Advisory – Development of a 3-year strategic roadmap aligned with Kazakhstan national economic priorities</w:t>
            </w:r>
          </w:p>
        </w:tc>
        <w:tc>
          <w:tcPr/>
          <w:p>
            <w:pPr>
              <w:pStyle w:val="Compact"/>
              <w:jc w:val="left"/>
            </w:pPr>
            <w:r>
              <w:t xml:space="preserve">4 weeks</w:t>
            </w:r>
          </w:p>
        </w:tc>
        <w:tc>
          <w:tcPr/>
          <w:p>
            <w:pPr>
              <w:pStyle w:val="Compact"/>
              <w:jc w:val="left"/>
            </w:pPr>
            <w:r>
              <w:t xml:space="preserve">520,000 / week</w:t>
            </w:r>
          </w:p>
        </w:tc>
        <w:tc>
          <w:tcPr/>
          <w:p>
            <w:pPr>
              <w:pStyle w:val="Compact"/>
              <w:jc w:val="left"/>
            </w:pPr>
            <w:r>
              <w:t xml:space="preserve">2,080,000</w:t>
            </w:r>
          </w:p>
        </w:tc>
      </w:tr>
      <w:tr>
        <w:tc>
          <w:tcPr/>
          <w:p>
            <w:pPr>
              <w:pStyle w:val="Compact"/>
              <w:jc w:val="left"/>
            </w:pPr>
            <w:r>
              <w:t xml:space="preserve">03</w:t>
            </w:r>
          </w:p>
        </w:tc>
        <w:tc>
          <w:tcPr/>
          <w:p>
            <w:pPr>
              <w:pStyle w:val="Compact"/>
              <w:jc w:val="left"/>
            </w:pPr>
            <w:r>
              <w:t xml:space="preserve">Operational Process Optimization – Streamlining supply chain, logistics, and internal workflows specific to the Almaty metropolitan business corridor</w:t>
            </w:r>
          </w:p>
        </w:tc>
        <w:tc>
          <w:tcPr/>
          <w:p>
            <w:pPr>
              <w:pStyle w:val="Compact"/>
              <w:jc w:val="left"/>
            </w:pPr>
            <w:r>
              <w:t xml:space="preserve">5 weeks</w:t>
            </w:r>
          </w:p>
        </w:tc>
        <w:tc>
          <w:tcPr/>
          <w:p>
            <w:pPr>
              <w:pStyle w:val="Compact"/>
              <w:jc w:val="left"/>
            </w:pPr>
            <w:r>
              <w:t xml:space="preserve">480,000 / week</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Regulatory Compliance &amp; Legal Advisory – Guidance on Kazakhstan commercial law, tax obligations, and licensing requirements in Almaty</w:t>
            </w:r>
          </w:p>
        </w:tc>
        <w:tc>
          <w:tcPr/>
          <w:p>
            <w:pPr>
              <w:pStyle w:val="Compact"/>
              <w:jc w:val="left"/>
            </w:pPr>
            <w:r>
              <w:t xml:space="preserve">3 weeks</w:t>
            </w:r>
          </w:p>
        </w:tc>
        <w:tc>
          <w:tcPr/>
          <w:p>
            <w:pPr>
              <w:pStyle w:val="Compact"/>
              <w:jc w:val="left"/>
            </w:pPr>
            <w:r>
              <w:t xml:space="preserve">500,000 / week</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Human Capital &amp; Organizational Development – Workforce planning, leadership training, and performance management framework design</w:t>
            </w:r>
          </w:p>
        </w:tc>
        <w:tc>
          <w:tcPr/>
          <w:p>
            <w:pPr>
              <w:pStyle w:val="Compact"/>
              <w:jc w:val="left"/>
            </w:pPr>
            <w:r>
              <w:t xml:space="preserve">4 weeks</w:t>
            </w:r>
          </w:p>
        </w:tc>
        <w:tc>
          <w:tcPr/>
          <w:p>
            <w:pPr>
              <w:pStyle w:val="Compact"/>
              <w:jc w:val="left"/>
            </w:pPr>
            <w:r>
              <w:t xml:space="preserve">430,000 / week</w:t>
            </w:r>
          </w:p>
        </w:tc>
        <w:tc>
          <w:tcPr/>
          <w:p>
            <w:pPr>
              <w:pStyle w:val="Compact"/>
              <w:jc w:val="left"/>
            </w:pPr>
            <w:r>
              <w:t xml:space="preserve">1,720,000</w:t>
            </w:r>
          </w:p>
        </w:tc>
      </w:tr>
      <w:tr>
        <w:tc>
          <w:tcPr/>
          <w:p>
            <w:pPr>
              <w:pStyle w:val="Compact"/>
              <w:jc w:val="left"/>
            </w:pPr>
            <w:r>
              <w:t xml:space="preserve">06</w:t>
            </w:r>
          </w:p>
        </w:tc>
        <w:tc>
          <w:tcPr/>
          <w:p>
            <w:pPr>
              <w:pStyle w:val="Compact"/>
              <w:jc w:val="left"/>
            </w:pPr>
            <w:r>
              <w:t xml:space="preserve">Digital Transformation &amp; Technology Advisory – Assessment and implementation roadmap for digital tools suited to the Kazakhstan Almaty tech ecosystem</w:t>
            </w:r>
          </w:p>
        </w:tc>
        <w:tc>
          <w:tcPr/>
          <w:p>
            <w:pPr>
              <w:pStyle w:val="Compact"/>
              <w:jc w:val="left"/>
            </w:pPr>
            <w:r>
              <w:t xml:space="preserve">3 weeks</w:t>
            </w:r>
          </w:p>
        </w:tc>
        <w:tc>
          <w:tcPr/>
          <w:p>
            <w:pPr>
              <w:pStyle w:val="Compact"/>
              <w:jc w:val="left"/>
            </w:pPr>
            <w:r>
              <w:t xml:space="preserve">550,000 / week</w:t>
            </w:r>
          </w:p>
        </w:tc>
        <w:tc>
          <w:tcPr/>
          <w:p>
            <w:pPr>
              <w:pStyle w:val="Compact"/>
              <w:jc w:val="left"/>
            </w:pPr>
            <w:r>
              <w:t xml:space="preserve">1,650,000</w:t>
            </w:r>
          </w:p>
        </w:tc>
      </w:tr>
      <w:tr>
        <w:tc>
          <w:tcPr/>
          <w:p>
            <w:pPr>
              <w:pStyle w:val="Compact"/>
              <w:jc w:val="left"/>
            </w:pPr>
            <w:r>
              <w:t xml:space="preserve">07</w:t>
            </w:r>
          </w:p>
        </w:tc>
        <w:tc>
          <w:tcPr/>
          <w:p>
            <w:pPr>
              <w:pStyle w:val="Compact"/>
              <w:jc w:val="left"/>
            </w:pPr>
            <w:r>
              <w:t xml:space="preserve">Ongoing Advisory &amp; Quarterly Review Sessions – Continuous</w:t>
            </w:r>
            <w:r>
              <w:t xml:space="preserve"> </w:t>
            </w:r>
            <w:r>
              <w:t xml:space="preserve">Business Consultant</w:t>
            </w:r>
            <w:r>
              <w:t xml:space="preserve"> </w:t>
            </w:r>
            <w:r>
              <w:t xml:space="preserve">support with monthly check-ins and quarterly strategic reviews</w:t>
            </w:r>
          </w:p>
        </w:tc>
        <w:tc>
          <w:tcPr/>
          <w:p>
            <w:pPr>
              <w:pStyle w:val="Compact"/>
              <w:jc w:val="left"/>
            </w:pPr>
            <w:r>
              <w:t xml:space="preserve">6 months</w:t>
            </w:r>
          </w:p>
        </w:tc>
        <w:tc>
          <w:tcPr/>
          <w:p>
            <w:pPr>
              <w:pStyle w:val="Compact"/>
              <w:jc w:val="left"/>
            </w:pPr>
            <w:r>
              <w:t xml:space="preserve">350,000 / month</w:t>
            </w:r>
          </w:p>
        </w:tc>
        <w:tc>
          <w:tcPr/>
          <w:p>
            <w:pPr>
              <w:pStyle w:val="Compact"/>
              <w:jc w:val="left"/>
            </w:pPr>
            <w:r>
              <w:t xml:space="preserve">2,100,000</w:t>
            </w:r>
          </w:p>
        </w:tc>
      </w:tr>
      <w:tr>
        <w:tc>
          <w:tcPr>
            <w:gridSpan w:val="4"/>
          </w:tcPr>
          <w:p>
            <w:pPr>
              <w:pStyle w:val="Compact"/>
              <w:jc w:val="left"/>
            </w:pPr>
            <w:r>
              <w:t xml:space="preserve">TOTAL ESTIMATED FEE (KZT)</w:t>
            </w:r>
          </w:p>
        </w:tc>
        <w:tc>
          <w:tcPr/>
          <w:p>
            <w:pPr>
              <w:pStyle w:val="Compact"/>
              <w:jc w:val="left"/>
            </w:pPr>
            <w:r>
              <w:t xml:space="preserve">12,800,000</w:t>
            </w:r>
          </w:p>
        </w:tc>
      </w:tr>
      <w:tr>
        <w:tc>
          <w:tcPr>
            <w:gridSpan w:val="4"/>
          </w:tcPr>
          <w:p>
            <w:pPr>
              <w:pStyle w:val="Compact"/>
              <w:jc w:val="left"/>
            </w:pPr>
            <w:r>
              <w:t xml:space="preserve">VAT (12% – Republic of Kazakhstan)</w:t>
            </w:r>
          </w:p>
        </w:tc>
        <w:tc>
          <w:tcPr/>
          <w:p>
            <w:pPr>
              <w:pStyle w:val="Compact"/>
              <w:jc w:val="left"/>
            </w:pPr>
            <w:r>
              <w:t xml:space="preserve">1,536,000</w:t>
            </w:r>
          </w:p>
        </w:tc>
      </w:tr>
      <w:tr>
        <w:tc>
          <w:tcPr>
            <w:gridSpan w:val="4"/>
          </w:tcPr>
          <w:p>
            <w:pPr>
              <w:pStyle w:val="Compact"/>
              <w:jc w:val="left"/>
            </w:pPr>
            <w:r>
              <w:t xml:space="preserve">GRAND TOTAL (KZT)</w:t>
            </w:r>
          </w:p>
        </w:tc>
        <w:tc>
          <w:tcPr/>
          <w:p>
            <w:pPr>
              <w:pStyle w:val="Compact"/>
              <w:jc w:val="left"/>
            </w:pPr>
            <w:r>
              <w:t xml:space="preserve">14,336,000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and terms are subject to revision based on prevailing market conditions in Kazakhstan Almaty.</w:t>
      </w:r>
    </w:p>
    <w:p>
      <w:pPr>
        <w:numPr>
          <w:ilvl w:val="0"/>
          <w:numId w:val="1001"/>
        </w:numPr>
        <w:pStyle w:val="Compact"/>
      </w:pPr>
      <w:r>
        <w:t xml:space="preserve">The</w:t>
      </w:r>
      <w:r>
        <w:t xml:space="preserve"> </w:t>
      </w:r>
      <w:r>
        <w:t xml:space="preserve">Business Consultant</w:t>
      </w:r>
      <w:r>
        <w:t xml:space="preserve"> </w:t>
      </w:r>
      <w:r>
        <w:t xml:space="preserve">engagement shall commence only upon full execution of the Service Agreement and receipt of the initial mobilization payment as specified in Section 5.</w:t>
      </w:r>
    </w:p>
    <w:p>
      <w:pPr>
        <w:numPr>
          <w:ilvl w:val="0"/>
          <w:numId w:val="1001"/>
        </w:numPr>
        <w:pStyle w:val="Compact"/>
      </w:pPr>
      <w:r>
        <w:t xml:space="preserve">All fees quoted in this</w:t>
      </w:r>
      <w:r>
        <w:t xml:space="preserve"> </w:t>
      </w:r>
      <w:r>
        <w:t xml:space="preserve">Quotation Estimate</w:t>
      </w:r>
      <w:r>
        <w:t xml:space="preserve"> </w:t>
      </w:r>
      <w:r>
        <w:t xml:space="preserve">are exclusive of VAT, which shall be applied at the current rate of 12% as per the Tax Code of the Republic of Kazakhstan.</w:t>
      </w:r>
    </w:p>
    <w:p>
      <w:pPr>
        <w:numPr>
          <w:ilvl w:val="0"/>
          <w:numId w:val="1001"/>
        </w:numPr>
        <w:pStyle w:val="Compact"/>
      </w:pPr>
      <w:r>
        <w:t xml:space="preserve">Travel, accommodation, and per diem expenses incurred by the</w:t>
      </w:r>
      <w:r>
        <w:t xml:space="preserve"> </w:t>
      </w:r>
      <w:r>
        <w:t xml:space="preserve">Business Consultant</w:t>
      </w:r>
      <w:r>
        <w:t xml:space="preserve"> </w:t>
      </w:r>
      <w:r>
        <w:t xml:space="preserve">while conducting on-site work in Kazakhstan Almaty or other regions of Kazakhstan shall be billed at actual cost, subject to a pre-approved monthly cap of KZT 200,000.</w:t>
      </w:r>
    </w:p>
    <w:p>
      <w:pPr>
        <w:numPr>
          <w:ilvl w:val="0"/>
          <w:numId w:val="1001"/>
        </w:numPr>
        <w:pStyle w:val="Compact"/>
      </w:pPr>
      <w:r>
        <w:t xml:space="preserve">Any additional services or scope changes requested by the client beyond the parameters defined in this</w:t>
      </w:r>
      <w:r>
        <w:t xml:space="preserve"> </w:t>
      </w:r>
      <w:r>
        <w:t xml:space="preserve">Quotation Estimate</w:t>
      </w:r>
      <w:r>
        <w:t xml:space="preserve"> </w:t>
      </w:r>
      <w:r>
        <w:t xml:space="preserve">will be subject to a separate written amendment and additional fee schedule.</w:t>
      </w:r>
    </w:p>
    <w:p>
      <w:pPr>
        <w:numPr>
          <w:ilvl w:val="0"/>
          <w:numId w:val="1001"/>
        </w:numPr>
        <w:pStyle w:val="Compact"/>
      </w:pPr>
      <w:r>
        <w:t xml:space="preserve">All intellectual property, reports, strategic documents, and deliverables produced by the</w:t>
      </w:r>
      <w:r>
        <w:t xml:space="preserve"> </w:t>
      </w:r>
      <w:r>
        <w:t xml:space="preserve">Business Consultant</w:t>
      </w:r>
      <w:r>
        <w:t xml:space="preserve"> </w:t>
      </w:r>
      <w:r>
        <w:t xml:space="preserve">under this engagement shall become the sole property of the client upon full payment of all outstanding invoices.</w:t>
      </w:r>
    </w:p>
    <w:p>
      <w:pPr>
        <w:numPr>
          <w:ilvl w:val="0"/>
          <w:numId w:val="1001"/>
        </w:numPr>
        <w:pStyle w:val="Compact"/>
      </w:pPr>
      <w:r>
        <w:t xml:space="preserve">Confidentiality: The</w:t>
      </w:r>
      <w:r>
        <w:t xml:space="preserve"> </w:t>
      </w:r>
      <w:r>
        <w:t xml:space="preserve">Business Consultant</w:t>
      </w:r>
      <w:r>
        <w:t xml:space="preserve"> </w:t>
      </w:r>
      <w:r>
        <w:t xml:space="preserve">agrees to maintain strict confidentiality regarding all proprietary information, trade secrets, and business data of the client, in accordance with Kazakhstan data protection legislation.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the formal Service Agreement incorporating the terms herein.</w:t>
      </w:r>
    </w:p>
    <w:p>
      <w:pPr>
        <w:numPr>
          <w:ilvl w:val="0"/>
          <w:numId w:val="1001"/>
        </w:numPr>
        <w:pStyle w:val="Compact"/>
      </w:pPr>
      <w:r>
        <w:t xml:space="preserve">Disputes arising from this engagement shall be resolved through arbitration in Almaty, Kazakhstan, in accordance with the rules of the Almaty International Arbitration Centre.</w:t>
      </w:r>
    </w:p>
    <w:bookmarkEnd w:id="24"/>
    <w:bookmarkStart w:id="25" w:name="payment-terms"/>
    <w:p>
      <w:pPr>
        <w:pStyle w:val="Heading2"/>
      </w:pPr>
      <w:r>
        <w:t xml:space="preserve">5. Payment Terms</w:t>
      </w:r>
    </w:p>
    <w:p>
      <w:pPr>
        <w:pStyle w:val="FirstParagraph"/>
      </w:pPr>
      <w:r>
        <w:t xml:space="preserve">Payment for the</w:t>
      </w:r>
      <w:r>
        <w:t xml:space="preserve"> </w:t>
      </w:r>
      <w:r>
        <w:t xml:space="preserve">Business Consultant</w:t>
      </w:r>
      <w:r>
        <w:t xml:space="preserve"> </w:t>
      </w:r>
      <w:r>
        <w:t xml:space="preserve">services outlined in this</w:t>
      </w:r>
      <w:r>
        <w:t xml:space="preserve"> </w:t>
      </w:r>
      <w:r>
        <w:t xml:space="preserve">Quotation Estimate</w:t>
      </w:r>
      <w:r>
        <w:t xml:space="preserve"> </w:t>
      </w:r>
      <w:r>
        <w:t xml:space="preserve">shall be made in the following schedule:</w:t>
      </w:r>
    </w:p>
    <w:p>
      <w:pPr>
        <w:numPr>
          <w:ilvl w:val="0"/>
          <w:numId w:val="1002"/>
        </w:numPr>
        <w:pStyle w:val="Compact"/>
      </w:pPr>
      <w:r>
        <w:rPr>
          <w:bCs/>
          <w:b/>
        </w:rPr>
        <w:t xml:space="preserve">Mobilization Payment (30%):</w:t>
      </w:r>
      <w:r>
        <w:t xml:space="preserve"> </w:t>
      </w:r>
      <w:r>
        <w:t xml:space="preserve">KZT 4,300,800 – Due within 10 business days of contract signing.</w:t>
      </w:r>
    </w:p>
    <w:p>
      <w:pPr>
        <w:numPr>
          <w:ilvl w:val="0"/>
          <w:numId w:val="1002"/>
        </w:numPr>
        <w:pStyle w:val="Compact"/>
      </w:pPr>
      <w:r>
        <w:rPr>
          <w:bCs/>
          <w:b/>
        </w:rPr>
        <w:t xml:space="preserve">Progress Payment (40%):</w:t>
      </w:r>
      <w:r>
        <w:t xml:space="preserve"> </w:t>
      </w:r>
      <w:r>
        <w:t xml:space="preserve">KZT 5,734,400 – Due upon completion of the Strategic Business Plan and Operational Optimization deliverables (approximately Month 3).</w:t>
      </w:r>
    </w:p>
    <w:p>
      <w:pPr>
        <w:numPr>
          <w:ilvl w:val="0"/>
          <w:numId w:val="1002"/>
        </w:numPr>
        <w:pStyle w:val="Compact"/>
      </w:pPr>
      <w:r>
        <w:rPr>
          <w:bCs/>
          <w:b/>
        </w:rPr>
        <w:t xml:space="preserve">Final Payment (30%):</w:t>
      </w:r>
      <w:r>
        <w:t xml:space="preserve"> </w:t>
      </w:r>
      <w:r>
        <w:t xml:space="preserve">KZT 4,300,800 – Due upon completion of all services and delivery of the final comprehensive report (Month 6).</w:t>
      </w:r>
    </w:p>
    <w:p>
      <w:pPr>
        <w:pStyle w:val="FirstParagraph"/>
      </w:pPr>
      <w:r>
        <w:t xml:space="preserve">All payments shall be made via bank transfer to the account of Altai Business Consulting LLP, Almaty, Kazakhstan. Invoices will be issued in KZT. Late payments shall accrue interest at 1.5% per month as permitted under Kazakhstan commercial law.</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fee structure for the</w:t>
      </w:r>
      <w:r>
        <w:t xml:space="preserve"> </w:t>
      </w:r>
      <w:r>
        <w:t xml:space="preserve">Business Consultant</w:t>
      </w:r>
      <w:r>
        <w:t xml:space="preserve"> </w:t>
      </w:r>
      <w:r>
        <w:t xml:space="preserve">engagement in Kazakhstan Almaty as detailed herein.</w:t>
      </w:r>
    </w:p>
    <w:p>
      <w:pPr>
        <w:pStyle w:val="BodyText"/>
      </w:pPr>
      <w:r>
        <w:rPr>
          <w:bCs/>
          <w:b/>
        </w:rPr>
        <w:t xml:space="preserve">For Altai Business Consulting LLP</w:t>
      </w:r>
      <w:r>
        <w:br/>
      </w:r>
      <w:r>
        <w:t xml:space="preserve">Name: ___________________________</w:t>
      </w:r>
      <w:r>
        <w:br/>
      </w:r>
      <w:r>
        <w:t xml:space="preserve">Title: Managing Director</w:t>
      </w:r>
      <w:r>
        <w:br/>
      </w:r>
      <w:r>
        <w:t xml:space="preserve">Date: ___________________________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___________________________</w:t>
      </w:r>
    </w:p>
    <w:bookmarkEnd w:id="26"/>
    <w:p>
      <w:pPr>
        <w:pStyle w:val="BodyText"/>
      </w:pPr>
      <w:r>
        <w:t xml:space="preserve">Altai Business Consulting LLP | Almaty, Kazakhstan | BIC: KZFTKZKA | IIN: 050140012345</w:t>
      </w:r>
    </w:p>
    <w:p>
      <w:pPr>
        <w:pStyle w:val="BodyText"/>
      </w:pPr>
      <w:r>
        <w:t xml:space="preserve">This Quotation Estimate is a confidential document intended solely for the named client. Unauthorized distribution is prohibited.</w:t>
      </w:r>
    </w:p>
    <w:p>
      <w:pPr>
        <w:pStyle w:val="BodyText"/>
      </w:pPr>
      <w:r>
        <w:t xml:space="preserve">Page 1 of 1 | Document QE-ALM-2025-0047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Services - Kazakhstan Almaty</dc:title>
  <dc:creator/>
  <dc:language>en</dc:language>
  <cp:keywords/>
  <dcterms:created xsi:type="dcterms:W3CDTF">2026-10-10T03:17:26Z</dcterms:created>
  <dcterms:modified xsi:type="dcterms:W3CDTF">2026-10-10T03:17:26Z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