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Business</w:t>
      </w:r>
      <w:r>
        <w:t xml:space="preserve"> </w:t>
      </w:r>
      <w:r>
        <w:t xml:space="preserve">Consultant</w:t>
      </w:r>
      <w:r>
        <w:t xml:space="preserve"> </w:t>
      </w:r>
      <w:r>
        <w:t xml:space="preserve">-</w:t>
      </w:r>
      <w:r>
        <w:t xml:space="preserve"> </w:t>
      </w:r>
      <w:r>
        <w:t xml:space="preserve">Kenya</w:t>
      </w:r>
      <w:r>
        <w:t xml:space="preserve"> </w:t>
      </w:r>
      <w:r>
        <w:t xml:space="preserve">Nairobi</w:t>
      </w:r>
    </w:p>
    <w:bookmarkStart w:id="20" w:name="quotation-estimate"/>
    <w:p>
      <w:pPr>
        <w:pStyle w:val="Heading1"/>
      </w:pPr>
      <w:r>
        <w:t xml:space="preserve">Quotation Estimate</w:t>
      </w:r>
    </w:p>
    <w:p>
      <w:pPr>
        <w:pStyle w:val="FirstParagraph"/>
      </w:pPr>
      <w:r>
        <w:rPr>
          <w:bCs/>
          <w:b/>
        </w:rPr>
        <w:t xml:space="preserve">Strategic Business Advisory &amp; Consulting Services</w:t>
      </w:r>
    </w:p>
    <w:p>
      <w:pPr>
        <w:pStyle w:val="BodyText"/>
      </w:pPr>
      <w:r>
        <w:t xml:space="preserve">Office 12, The Oval, Westlands,</w:t>
      </w:r>
      <w:r>
        <w:t xml:space="preserve"> </w:t>
      </w:r>
      <w:r>
        <w:t xml:space="preserve">Kenya Nairobi</w:t>
      </w:r>
    </w:p>
    <w:p>
      <w:pPr>
        <w:pStyle w:val="BodyText"/>
      </w:pPr>
      <w:r>
        <w:t xml:space="preserve">P.O. Box 4521-00100, Nairobi | Tel: +254 700 123 456 | Email: quotes@strategicadvisory.co.ke</w:t>
      </w:r>
    </w:p>
    <w:p>
      <w:pPr>
        <w:pStyle w:val="BodyText"/>
      </w:pPr>
      <w:r>
        <w:t xml:space="preserve">KRA PIN: P051234567X | MTA License No. 2024/BC/0891</w:t>
      </w:r>
    </w:p>
    <w:bookmarkEnd w:id="20"/>
    <w:p>
      <w:pPr>
        <w:pStyle w:val="BodyText"/>
      </w:pPr>
      <w:r>
        <w:rPr>
          <w:bCs/>
          <w:b/>
        </w:rPr>
        <w:t xml:space="preserve">Quotation No.:</w:t>
      </w:r>
      <w:r>
        <w:t xml:space="preserve"> </w:t>
      </w:r>
      <w:r>
        <w:t xml:space="preserve">QTE-2025-0472</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Prepared For:</w:t>
      </w:r>
      <w:r>
        <w:t xml:space="preserve"> </w:t>
      </w:r>
      <w:r>
        <w:t xml:space="preserve">[Client Name / Company]</w:t>
      </w:r>
    </w:p>
    <w:p>
      <w:pPr>
        <w:pStyle w:val="BodyText"/>
      </w:pPr>
      <w:r>
        <w:t xml:space="preserve">Dear Valued Client,</w:t>
      </w:r>
    </w:p>
    <w:p>
      <w:pPr>
        <w:pStyle w:val="BodyText"/>
      </w:pPr>
      <w:r>
        <w:t xml:space="preserve">Thank you for the opportunity to present this</w:t>
      </w:r>
      <w:r>
        <w:t xml:space="preserve"> </w:t>
      </w:r>
      <w:r>
        <w:t xml:space="preserve">Quotation Estimate</w:t>
      </w:r>
      <w:r>
        <w:t xml:space="preserve"> </w:t>
      </w:r>
      <w:r>
        <w:t xml:space="preserve">for professional</w:t>
      </w:r>
      <w:r>
        <w:t xml:space="preserve"> </w:t>
      </w:r>
      <w:r>
        <w:t xml:space="preserve">Business Consultant</w:t>
      </w:r>
      <w:r>
        <w:t xml:space="preserve"> </w:t>
      </w:r>
      <w:r>
        <w:t xml:space="preserve">services tailored to your operational needs in</w:t>
      </w:r>
      <w:r>
        <w:t xml:space="preserve"> </w:t>
      </w:r>
      <w:r>
        <w:t xml:space="preserve">Kenya Nairobi</w:t>
      </w:r>
      <w:r>
        <w:t xml:space="preserve">. Our firm, Strategic Business Advisory &amp; Consulting, has been serving the East African business community for over twelve years, delivering measurable results to organizations ranging from emerging startups to established multinational corporations operating within the Nairobi metropolitan area and beyond.</w:t>
      </w:r>
    </w:p>
    <w:p>
      <w:pPr>
        <w:pStyle w:val="BodyText"/>
      </w:pPr>
      <w:r>
        <w:t xml:space="preserve">This</w:t>
      </w:r>
      <w:r>
        <w:t xml:space="preserve"> </w:t>
      </w:r>
      <w:r>
        <w:t xml:space="preserve">Quotation Estimate</w:t>
      </w:r>
      <w:r>
        <w:t xml:space="preserve"> </w:t>
      </w:r>
      <w:r>
        <w:t xml:space="preserve">outlines the comprehensive scope of engagement, deliverables, timelines, and associated costs for the proposed</w:t>
      </w:r>
      <w:r>
        <w:t xml:space="preserve"> </w:t>
      </w:r>
      <w:r>
        <w:t xml:space="preserve">Business Consultant</w:t>
      </w:r>
      <w:r>
        <w:t xml:space="preserve"> </w:t>
      </w:r>
      <w:r>
        <w:t xml:space="preserve">retainer and project-based services. All pricing is quoted in Kenyan Shillings (KES) and is inclusive of Value Added Tax (VAT) at the prevailing rate of 16% as mandated by the Kenya Revenue Authority (KRA).</w:t>
      </w:r>
    </w:p>
    <w:bookmarkStart w:id="21" w:name="X38c04614c6852dc42671939c78d168ce144be86"/>
    <w:p>
      <w:pPr>
        <w:pStyle w:val="Heading2"/>
      </w:pPr>
      <w:r>
        <w:t xml:space="preserve">1. Scope of Services – Business Consultant Engagement</w:t>
      </w:r>
    </w:p>
    <w:p>
      <w:pPr>
        <w:pStyle w:val="FirstParagraph"/>
      </w:pPr>
      <w:r>
        <w:t xml:space="preserve">As your dedicated</w:t>
      </w:r>
      <w:r>
        <w:t xml:space="preserve"> </w:t>
      </w:r>
      <w:r>
        <w:t xml:space="preserve">Business Consultant</w:t>
      </w:r>
      <w:r>
        <w:t xml:space="preserve"> </w:t>
      </w:r>
      <w:r>
        <w:t xml:space="preserve">in</w:t>
      </w:r>
      <w:r>
        <w:t xml:space="preserve"> </w:t>
      </w:r>
      <w:r>
        <w:t xml:space="preserve">Kenya Nairobi</w:t>
      </w:r>
      <w:r>
        <w:t xml:space="preserve">, we propose the following structured engagement covering strategic, operational, and financial advisory domains:</w:t>
      </w:r>
    </w:p>
    <w:p>
      <w:pPr>
        <w:numPr>
          <w:ilvl w:val="0"/>
          <w:numId w:val="1001"/>
        </w:numPr>
        <w:pStyle w:val="Compact"/>
      </w:pPr>
      <w:r>
        <w:rPr>
          <w:bCs/>
          <w:b/>
        </w:rPr>
        <w:t xml:space="preserve">Strategic Business Planning:</w:t>
      </w:r>
      <w:r>
        <w:t xml:space="preserve"> </w:t>
      </w:r>
      <w:r>
        <w:t xml:space="preserve">Development of a five-year strategic roadmap aligned with your organizational vision, market positioning, and growth objectives within the Kenyan and East African markets.</w:t>
      </w:r>
    </w:p>
    <w:p>
      <w:pPr>
        <w:numPr>
          <w:ilvl w:val="0"/>
          <w:numId w:val="1001"/>
        </w:numPr>
        <w:pStyle w:val="Compact"/>
      </w:pPr>
      <w:r>
        <w:rPr>
          <w:bCs/>
          <w:b/>
        </w:rPr>
        <w:t xml:space="preserve">Operational Efficiency Audit:</w:t>
      </w:r>
      <w:r>
        <w:t xml:space="preserve"> </w:t>
      </w:r>
      <w:r>
        <w:t xml:space="preserve">Comprehensive review of current business processes, supply chain logistics, and workforce utilization to identify bottlenecks and recommend actionable improvements.</w:t>
      </w:r>
    </w:p>
    <w:p>
      <w:pPr>
        <w:numPr>
          <w:ilvl w:val="0"/>
          <w:numId w:val="1001"/>
        </w:numPr>
        <w:pStyle w:val="Compact"/>
      </w:pPr>
      <w:r>
        <w:rPr>
          <w:bCs/>
          <w:b/>
        </w:rPr>
        <w:t xml:space="preserve">Financial Modelling &amp; Forecasting:</w:t>
      </w:r>
      <w:r>
        <w:t xml:space="preserve"> </w:t>
      </w:r>
      <w:r>
        <w:t xml:space="preserve">Construction of detailed financial models, cash flow projections, and break-even analyses to support investment decisions and board-level reporting.</w:t>
      </w:r>
    </w:p>
    <w:p>
      <w:pPr>
        <w:numPr>
          <w:ilvl w:val="0"/>
          <w:numId w:val="1001"/>
        </w:numPr>
        <w:pStyle w:val="Compact"/>
      </w:pPr>
      <w:r>
        <w:rPr>
          <w:bCs/>
          <w:b/>
        </w:rPr>
        <w:t xml:space="preserve">Market Entry &amp; Expansion Advisory:</w:t>
      </w:r>
      <w:r>
        <w:t xml:space="preserve"> </w:t>
      </w:r>
      <w:r>
        <w:t xml:space="preserve">Research-driven guidance on entering new customer segments, negotiating with local and international partners, and navigating the regulatory landscape in</w:t>
      </w:r>
      <w:r>
        <w:t xml:space="preserve"> </w:t>
      </w:r>
      <w:r>
        <w:t xml:space="preserve">Kenya Nairobi</w:t>
      </w:r>
      <w:r>
        <w:t xml:space="preserve"> </w:t>
      </w:r>
      <w:r>
        <w:t xml:space="preserve">and the broader East African Community (EAC).</w:t>
      </w:r>
    </w:p>
    <w:p>
      <w:pPr>
        <w:numPr>
          <w:ilvl w:val="0"/>
          <w:numId w:val="1001"/>
        </w:numPr>
        <w:pStyle w:val="Compact"/>
      </w:pPr>
      <w:r>
        <w:rPr>
          <w:bCs/>
          <w:b/>
        </w:rPr>
        <w:t xml:space="preserve">Change Management &amp; Organizational Development:</w:t>
      </w:r>
      <w:r>
        <w:t xml:space="preserve"> </w:t>
      </w:r>
      <w:r>
        <w:t xml:space="preserve">Facilitation of leadership workshops, performance management framework design, and culture transformation programmes to sustain long-term growth.</w:t>
      </w:r>
    </w:p>
    <w:p>
      <w:pPr>
        <w:numPr>
          <w:ilvl w:val="0"/>
          <w:numId w:val="1001"/>
        </w:numPr>
        <w:pStyle w:val="Compact"/>
      </w:pPr>
      <w:r>
        <w:rPr>
          <w:bCs/>
          <w:b/>
        </w:rPr>
        <w:t xml:space="preserve">Compliance &amp; Risk Advisory:</w:t>
      </w:r>
      <w:r>
        <w:t xml:space="preserve"> </w:t>
      </w:r>
      <w:r>
        <w:t xml:space="preserve">Guidance on adherence to Kenyan corporate governance standards, the Companies Act 2015, data protection regulations (ODPC), and sector-specific compliance requirements.</w:t>
      </w:r>
    </w:p>
    <w:bookmarkEnd w:id="21"/>
    <w:bookmarkStart w:id="22" w:name="itemized-cost-breakdown"/>
    <w:p>
      <w:pPr>
        <w:pStyle w:val="Heading2"/>
      </w:pPr>
      <w:r>
        <w:t xml:space="preserve">2.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Service Description</w:t>
            </w:r>
          </w:p>
        </w:tc>
        <w:tc>
          <w:tcPr/>
          <w:p>
            <w:pPr>
              <w:pStyle w:val="Compact"/>
              <w:jc w:val="left"/>
            </w:pPr>
            <w:r>
              <w:t xml:space="preserve">Duration</w:t>
            </w:r>
          </w:p>
        </w:tc>
        <w:tc>
          <w:tcPr/>
          <w:p>
            <w:pPr>
              <w:pStyle w:val="Compact"/>
              <w:jc w:val="left"/>
            </w:pPr>
            <w:r>
              <w:t xml:space="preserve">Rate (KES)</w:t>
            </w:r>
          </w:p>
        </w:tc>
        <w:tc>
          <w:tcPr/>
          <w:p>
            <w:pPr>
              <w:pStyle w:val="Compact"/>
              <w:jc w:val="left"/>
            </w:pPr>
            <w:r>
              <w:t xml:space="preserve">Total (KES)</w:t>
            </w:r>
          </w:p>
        </w:tc>
      </w:tr>
      <w:tr>
        <w:tc>
          <w:tcPr/>
          <w:p>
            <w:pPr>
              <w:pStyle w:val="Compact"/>
              <w:jc w:val="left"/>
            </w:pPr>
            <w:r>
              <w:t xml:space="preserve">01</w:t>
            </w:r>
          </w:p>
        </w:tc>
        <w:tc>
          <w:tcPr/>
          <w:p>
            <w:pPr>
              <w:pStyle w:val="Compact"/>
              <w:jc w:val="left"/>
            </w:pPr>
            <w:r>
              <w:t xml:space="preserve">Initial Discovery &amp; Diagnostic Assessment (on-site in Nairobi)</w:t>
            </w:r>
          </w:p>
        </w:tc>
        <w:tc>
          <w:tcPr/>
          <w:p>
            <w:pPr>
              <w:pStyle w:val="Compact"/>
              <w:jc w:val="left"/>
            </w:pPr>
            <w:r>
              <w:t xml:space="preserve">2 weeks</w:t>
            </w:r>
          </w:p>
        </w:tc>
        <w:tc>
          <w:tcPr/>
          <w:p>
            <w:pPr>
              <w:pStyle w:val="Compact"/>
              <w:jc w:val="left"/>
            </w:pPr>
            <w:r>
              <w:t xml:space="preserve">185,000</w:t>
            </w:r>
          </w:p>
        </w:tc>
        <w:tc>
          <w:tcPr/>
          <w:p>
            <w:pPr>
              <w:pStyle w:val="Compact"/>
              <w:jc w:val="left"/>
            </w:pPr>
            <w:r>
              <w:t xml:space="preserve">370,000</w:t>
            </w:r>
          </w:p>
        </w:tc>
      </w:tr>
      <w:tr>
        <w:tc>
          <w:tcPr/>
          <w:p>
            <w:pPr>
              <w:pStyle w:val="Compact"/>
              <w:jc w:val="left"/>
            </w:pPr>
            <w:r>
              <w:t xml:space="preserve">02</w:t>
            </w:r>
          </w:p>
        </w:tc>
        <w:tc>
          <w:tcPr/>
          <w:p>
            <w:pPr>
              <w:pStyle w:val="Compact"/>
              <w:jc w:val="left"/>
            </w:pPr>
            <w:r>
              <w:t xml:space="preserve">Strategic Business Plan Development &amp; Presentation</w:t>
            </w:r>
          </w:p>
        </w:tc>
        <w:tc>
          <w:tcPr/>
          <w:p>
            <w:pPr>
              <w:pStyle w:val="Compact"/>
              <w:jc w:val="left"/>
            </w:pPr>
            <w:r>
              <w:t xml:space="preserve">4 weeks</w:t>
            </w:r>
          </w:p>
        </w:tc>
        <w:tc>
          <w:tcPr/>
          <w:p>
            <w:pPr>
              <w:pStyle w:val="Compact"/>
              <w:jc w:val="left"/>
            </w:pPr>
            <w:r>
              <w:t xml:space="preserve">220,000</w:t>
            </w:r>
          </w:p>
        </w:tc>
        <w:tc>
          <w:tcPr/>
          <w:p>
            <w:pPr>
              <w:pStyle w:val="Compact"/>
              <w:jc w:val="left"/>
            </w:pPr>
            <w:r>
              <w:t xml:space="preserve">880,000</w:t>
            </w:r>
          </w:p>
        </w:tc>
      </w:tr>
      <w:tr>
        <w:tc>
          <w:tcPr/>
          <w:p>
            <w:pPr>
              <w:pStyle w:val="Compact"/>
              <w:jc w:val="left"/>
            </w:pPr>
            <w:r>
              <w:t xml:space="preserve">03</w:t>
            </w:r>
          </w:p>
        </w:tc>
        <w:tc>
          <w:tcPr/>
          <w:p>
            <w:pPr>
              <w:pStyle w:val="Compact"/>
              <w:jc w:val="left"/>
            </w:pPr>
            <w:r>
              <w:t xml:space="preserve">Operational Efficiency Audit &amp; Process Redesign</w:t>
            </w:r>
          </w:p>
        </w:tc>
        <w:tc>
          <w:tcPr/>
          <w:p>
            <w:pPr>
              <w:pStyle w:val="Compact"/>
              <w:jc w:val="left"/>
            </w:pPr>
            <w:r>
              <w:t xml:space="preserve">3 weeks</w:t>
            </w:r>
          </w:p>
        </w:tc>
        <w:tc>
          <w:tcPr/>
          <w:p>
            <w:pPr>
              <w:pStyle w:val="Compact"/>
              <w:jc w:val="left"/>
            </w:pPr>
            <w:r>
              <w:t xml:space="preserve">195,000</w:t>
            </w:r>
          </w:p>
        </w:tc>
        <w:tc>
          <w:tcPr/>
          <w:p>
            <w:pPr>
              <w:pStyle w:val="Compact"/>
              <w:jc w:val="left"/>
            </w:pPr>
            <w:r>
              <w:t xml:space="preserve">585,000</w:t>
            </w:r>
          </w:p>
        </w:tc>
      </w:tr>
      <w:tr>
        <w:tc>
          <w:tcPr/>
          <w:p>
            <w:pPr>
              <w:pStyle w:val="Compact"/>
              <w:jc w:val="left"/>
            </w:pPr>
            <w:r>
              <w:t xml:space="preserve">04</w:t>
            </w:r>
          </w:p>
        </w:tc>
        <w:tc>
          <w:tcPr/>
          <w:p>
            <w:pPr>
              <w:pStyle w:val="Compact"/>
              <w:jc w:val="left"/>
            </w:pPr>
            <w:r>
              <w:t xml:space="preserve">Financial Modelling, Forecasting &amp; Investment Analysis</w:t>
            </w:r>
          </w:p>
        </w:tc>
        <w:tc>
          <w:tcPr/>
          <w:p>
            <w:pPr>
              <w:pStyle w:val="Compact"/>
              <w:jc w:val="left"/>
            </w:pPr>
            <w:r>
              <w:t xml:space="preserve">3 weeks</w:t>
            </w:r>
          </w:p>
        </w:tc>
        <w:tc>
          <w:tcPr/>
          <w:p>
            <w:pPr>
              <w:pStyle w:val="Compact"/>
              <w:jc w:val="left"/>
            </w:pPr>
            <w:r>
              <w:t xml:space="preserve">210,000</w:t>
            </w:r>
          </w:p>
        </w:tc>
        <w:tc>
          <w:tcPr/>
          <w:p>
            <w:pPr>
              <w:pStyle w:val="Compact"/>
              <w:jc w:val="left"/>
            </w:pPr>
            <w:r>
              <w:t xml:space="preserve">630,000</w:t>
            </w:r>
          </w:p>
        </w:tc>
      </w:tr>
      <w:tr>
        <w:tc>
          <w:tcPr/>
          <w:p>
            <w:pPr>
              <w:pStyle w:val="Compact"/>
              <w:jc w:val="left"/>
            </w:pPr>
            <w:r>
              <w:t xml:space="preserve">05</w:t>
            </w:r>
          </w:p>
        </w:tc>
        <w:tc>
          <w:tcPr/>
          <w:p>
            <w:pPr>
              <w:pStyle w:val="Compact"/>
              <w:jc w:val="left"/>
            </w:pPr>
            <w:r>
              <w:t xml:space="preserve">Market Research &amp; Competitive Landscape Analysis (Nairobi &amp; EAC)</w:t>
            </w:r>
          </w:p>
        </w:tc>
        <w:tc>
          <w:tcPr/>
          <w:p>
            <w:pPr>
              <w:pStyle w:val="Compact"/>
              <w:jc w:val="left"/>
            </w:pPr>
            <w:r>
              <w:t xml:space="preserve">2 weeks</w:t>
            </w:r>
          </w:p>
        </w:tc>
        <w:tc>
          <w:tcPr/>
          <w:p>
            <w:pPr>
              <w:pStyle w:val="Compact"/>
              <w:jc w:val="left"/>
            </w:pPr>
            <w:r>
              <w:t xml:space="preserve">175,000</w:t>
            </w:r>
          </w:p>
        </w:tc>
        <w:tc>
          <w:tcPr/>
          <w:p>
            <w:pPr>
              <w:pStyle w:val="Compact"/>
              <w:jc w:val="left"/>
            </w:pPr>
            <w:r>
              <w:t xml:space="preserve">350,000</w:t>
            </w:r>
          </w:p>
        </w:tc>
      </w:tr>
      <w:tr>
        <w:tc>
          <w:tcPr/>
          <w:p>
            <w:pPr>
              <w:pStyle w:val="Compact"/>
              <w:jc w:val="left"/>
            </w:pPr>
            <w:r>
              <w:t xml:space="preserve">06</w:t>
            </w:r>
          </w:p>
        </w:tc>
        <w:tc>
          <w:tcPr/>
          <w:p>
            <w:pPr>
              <w:pStyle w:val="Compact"/>
              <w:jc w:val="left"/>
            </w:pPr>
            <w:r>
              <w:t xml:space="preserve">Change Management Workshops (4 sessions, up to 30 pax each)</w:t>
            </w:r>
          </w:p>
        </w:tc>
        <w:tc>
          <w:tcPr/>
          <w:p>
            <w:pPr>
              <w:pStyle w:val="Compact"/>
              <w:jc w:val="left"/>
            </w:pPr>
            <w:r>
              <w:t xml:space="preserve">4 weeks</w:t>
            </w:r>
          </w:p>
        </w:tc>
        <w:tc>
          <w:tcPr/>
          <w:p>
            <w:pPr>
              <w:pStyle w:val="Compact"/>
              <w:jc w:val="left"/>
            </w:pPr>
            <w:r>
              <w:t xml:space="preserve">150,000</w:t>
            </w:r>
          </w:p>
        </w:tc>
        <w:tc>
          <w:tcPr/>
          <w:p>
            <w:pPr>
              <w:pStyle w:val="Compact"/>
              <w:jc w:val="left"/>
            </w:pPr>
            <w:r>
              <w:t xml:space="preserve">600,000</w:t>
            </w:r>
          </w:p>
        </w:tc>
      </w:tr>
      <w:tr>
        <w:tc>
          <w:tcPr/>
          <w:p>
            <w:pPr>
              <w:pStyle w:val="Compact"/>
              <w:jc w:val="left"/>
            </w:pPr>
            <w:r>
              <w:t xml:space="preserve">07</w:t>
            </w:r>
          </w:p>
        </w:tc>
        <w:tc>
          <w:tcPr/>
          <w:p>
            <w:pPr>
              <w:pStyle w:val="Compact"/>
              <w:jc w:val="left"/>
            </w:pPr>
            <w:r>
              <w:t xml:space="preserve">Compliance Review &amp; Risk Mitigation Framework</w:t>
            </w:r>
          </w:p>
        </w:tc>
        <w:tc>
          <w:tcPr/>
          <w:p>
            <w:pPr>
              <w:pStyle w:val="Compact"/>
              <w:jc w:val="left"/>
            </w:pPr>
            <w:r>
              <w:t xml:space="preserve">2 weeks</w:t>
            </w:r>
          </w:p>
        </w:tc>
        <w:tc>
          <w:tcPr/>
          <w:p>
            <w:pPr>
              <w:pStyle w:val="Compact"/>
              <w:jc w:val="left"/>
            </w:pPr>
            <w:r>
              <w:t xml:space="preserve">165,000</w:t>
            </w:r>
          </w:p>
        </w:tc>
        <w:tc>
          <w:tcPr/>
          <w:p>
            <w:pPr>
              <w:pStyle w:val="Compact"/>
              <w:jc w:val="left"/>
            </w:pPr>
            <w:r>
              <w:t xml:space="preserve">330,000</w:t>
            </w:r>
          </w:p>
        </w:tc>
      </w:tr>
      <w:tr>
        <w:tc>
          <w:tcPr/>
          <w:p>
            <w:pPr>
              <w:pStyle w:val="Compact"/>
              <w:jc w:val="left"/>
            </w:pPr>
            <w:r>
              <w:t xml:space="preserve">08</w:t>
            </w:r>
          </w:p>
        </w:tc>
        <w:tc>
          <w:tcPr/>
          <w:p>
            <w:pPr>
              <w:pStyle w:val="Compact"/>
              <w:jc w:val="left"/>
            </w:pPr>
            <w:r>
              <w:t xml:space="preserve">Ongoing Advisory Retainer (monthly check-ins, email &amp; phone support)</w:t>
            </w:r>
          </w:p>
        </w:tc>
        <w:tc>
          <w:tcPr/>
          <w:p>
            <w:pPr>
              <w:pStyle w:val="Compact"/>
              <w:jc w:val="left"/>
            </w:pPr>
            <w:r>
              <w:t xml:space="preserve">6 months</w:t>
            </w:r>
          </w:p>
        </w:tc>
        <w:tc>
          <w:tcPr/>
          <w:p>
            <w:pPr>
              <w:pStyle w:val="Compact"/>
              <w:jc w:val="left"/>
            </w:pPr>
            <w:r>
              <w:t xml:space="preserve">95,000/mo</w:t>
            </w:r>
          </w:p>
        </w:tc>
        <w:tc>
          <w:tcPr/>
          <w:p>
            <w:pPr>
              <w:pStyle w:val="Compact"/>
              <w:jc w:val="left"/>
            </w:pPr>
            <w:r>
              <w:t xml:space="preserve">570,000</w:t>
            </w:r>
          </w:p>
        </w:tc>
      </w:tr>
      <w:tr>
        <w:tc>
          <w:tcPr/>
          <w:p>
            <w:pPr>
              <w:pStyle w:val="Compact"/>
              <w:jc w:val="left"/>
            </w:pPr>
            <w:r>
              <w:t xml:space="preserve">09</w:t>
            </w:r>
          </w:p>
        </w:tc>
        <w:tc>
          <w:tcPr/>
          <w:p>
            <w:pPr>
              <w:pStyle w:val="Compact"/>
              <w:jc w:val="left"/>
            </w:pPr>
            <w:r>
              <w:t xml:space="preserve">Travel, Accommodation &amp; Local Transport within Nairobi Metro</w:t>
            </w:r>
          </w:p>
        </w:tc>
        <w:tc>
          <w:tcPr/>
          <w:p>
            <w:pPr>
              <w:pStyle w:val="Compact"/>
              <w:jc w:val="left"/>
            </w:pPr>
            <w:r>
              <w:t xml:space="preserve">As incurred</w:t>
            </w:r>
          </w:p>
        </w:tc>
        <w:tc>
          <w:tcPr/>
          <w:p>
            <w:pPr>
              <w:pStyle w:val="Compact"/>
              <w:jc w:val="left"/>
            </w:pPr>
            <w:r>
              <w:t xml:space="preserve">—</w:t>
            </w:r>
          </w:p>
        </w:tc>
        <w:tc>
          <w:tcPr/>
          <w:p>
            <w:pPr>
              <w:pStyle w:val="Compact"/>
              <w:jc w:val="left"/>
            </w:pPr>
            <w:r>
              <w:t xml:space="preserve">85,000</w:t>
            </w:r>
          </w:p>
        </w:tc>
      </w:tr>
      <w:tr>
        <w:tc>
          <w:tcPr>
            <w:gridSpan w:val="4"/>
          </w:tcPr>
          <w:p>
            <w:pPr>
              <w:pStyle w:val="Compact"/>
              <w:jc w:val="right"/>
            </w:pPr>
            <w:r>
              <w:t xml:space="preserve">Subtotal (Excluding VAT):</w:t>
            </w:r>
          </w:p>
        </w:tc>
        <w:tc>
          <w:tcPr/>
          <w:p>
            <w:pPr>
              <w:pStyle w:val="Compact"/>
              <w:jc w:val="left"/>
            </w:pPr>
            <w:r>
              <w:t xml:space="preserve">4,400,000</w:t>
            </w:r>
          </w:p>
        </w:tc>
      </w:tr>
      <w:tr>
        <w:tc>
          <w:tcPr>
            <w:gridSpan w:val="4"/>
          </w:tcPr>
          <w:p>
            <w:pPr>
              <w:pStyle w:val="Compact"/>
              <w:jc w:val="right"/>
            </w:pPr>
            <w:r>
              <w:t xml:space="preserve">VAT @ 16%:</w:t>
            </w:r>
          </w:p>
        </w:tc>
        <w:tc>
          <w:tcPr/>
          <w:p>
            <w:pPr>
              <w:pStyle w:val="Compact"/>
              <w:jc w:val="left"/>
            </w:pPr>
            <w:r>
              <w:t xml:space="preserve">704,000</w:t>
            </w:r>
          </w:p>
        </w:tc>
      </w:tr>
      <w:tr>
        <w:tc>
          <w:tcPr>
            <w:gridSpan w:val="4"/>
          </w:tcPr>
          <w:p>
            <w:pPr>
              <w:pStyle w:val="Compact"/>
              <w:jc w:val="right"/>
            </w:pPr>
            <w:r>
              <w:t xml:space="preserve">Grand Total (Inclusive of VAT):</w:t>
            </w:r>
          </w:p>
        </w:tc>
        <w:tc>
          <w:tcPr/>
          <w:p>
            <w:pPr>
              <w:pStyle w:val="Compact"/>
              <w:jc w:val="left"/>
            </w:pPr>
            <w:r>
              <w:t xml:space="preserve">4,104,000</w:t>
            </w:r>
          </w:p>
        </w:tc>
      </w:tr>
    </w:tbl>
    <w:bookmarkEnd w:id="22"/>
    <w:bookmarkStart w:id="23" w:name="payment-terms"/>
    <w:p>
      <w:pPr>
        <w:pStyle w:val="Heading2"/>
      </w:pPr>
      <w:r>
        <w:t xml:space="preserve">3. Payment Terms</w:t>
      </w:r>
    </w:p>
    <w:p>
      <w:pPr>
        <w:numPr>
          <w:ilvl w:val="0"/>
          <w:numId w:val="1002"/>
        </w:numPr>
        <w:pStyle w:val="Compact"/>
      </w:pPr>
      <w:r>
        <w:t xml:space="preserve">A non-refundable mobilization fee of 30% (KES 1,231,200) is due upon acceptance of this</w:t>
      </w:r>
      <w:r>
        <w:t xml:space="preserve"> </w:t>
      </w:r>
      <w:r>
        <w:t xml:space="preserve">Quotation Estimate</w:t>
      </w:r>
      <w:r>
        <w:t xml:space="preserve"> </w:t>
      </w:r>
      <w:r>
        <w:t xml:space="preserve">and execution of the Service Agreement.</w:t>
      </w:r>
    </w:p>
    <w:p>
      <w:pPr>
        <w:numPr>
          <w:ilvl w:val="0"/>
          <w:numId w:val="1002"/>
        </w:numPr>
        <w:pStyle w:val="Compact"/>
      </w:pPr>
      <w:r>
        <w:t xml:space="preserve">40% (KES 1,641,600) is payable upon completion of the Strategic Business Plan and Operational Audit deliverables.</w:t>
      </w:r>
    </w:p>
    <w:p>
      <w:pPr>
        <w:numPr>
          <w:ilvl w:val="0"/>
          <w:numId w:val="1002"/>
        </w:numPr>
        <w:pStyle w:val="Compact"/>
      </w:pPr>
      <w:r>
        <w:t xml:space="preserve">The remaining 30% (KES 1,231,200) is payable in equal monthly instalments over the six-month advisory retainer period.</w:t>
      </w:r>
    </w:p>
    <w:p>
      <w:pPr>
        <w:numPr>
          <w:ilvl w:val="0"/>
          <w:numId w:val="1002"/>
        </w:numPr>
        <w:pStyle w:val="Compact"/>
      </w:pPr>
      <w:r>
        <w:t xml:space="preserve">All payments shall be made via bank transfer to our designated MCB or KCB account in Nairobi. Invoices will be issued in accordance with KRA eTIMS requirements.</w:t>
      </w:r>
    </w:p>
    <w:p>
      <w:pPr>
        <w:numPr>
          <w:ilvl w:val="0"/>
          <w:numId w:val="1002"/>
        </w:numPr>
        <w:pStyle w:val="Compact"/>
      </w:pPr>
      <w:r>
        <w:t xml:space="preserve">Late payments shall attract a penalty interest of 2% per month as stipulated under the Kenyan Interest Act.</w:t>
      </w:r>
    </w:p>
    <w:bookmarkEnd w:id="23"/>
    <w:bookmarkStart w:id="24" w:name="terms-conditions"/>
    <w:p>
      <w:pPr>
        <w:pStyle w:val="Heading2"/>
      </w:pPr>
      <w:r>
        <w:t xml:space="preserve">4. Terms &amp; Conditions</w:t>
      </w:r>
    </w:p>
    <w:p>
      <w:pPr>
        <w:numPr>
          <w:ilvl w:val="0"/>
          <w:numId w:val="1003"/>
        </w:numPr>
        <w:pStyle w:val="Compact"/>
      </w:pPr>
      <w:r>
        <w:t xml:space="preserve">This</w:t>
      </w:r>
      <w:r>
        <w:t xml:space="preserve"> </w:t>
      </w:r>
      <w:r>
        <w:t xml:space="preserve">Quotation Estimate</w:t>
      </w:r>
      <w:r>
        <w:t xml:space="preserve"> </w:t>
      </w:r>
      <w:r>
        <w:t xml:space="preserve">is valid for thirty (30) calendar days from the date of issue. Beyond this period, rates may be revised to reflect market conditions in</w:t>
      </w:r>
      <w:r>
        <w:t xml:space="preserve"> </w:t>
      </w:r>
      <w:r>
        <w:t xml:space="preserve">Kenya Nairobi</w:t>
      </w:r>
      <w:r>
        <w:t xml:space="preserve">.</w:t>
      </w:r>
    </w:p>
    <w:p>
      <w:pPr>
        <w:numPr>
          <w:ilvl w:val="0"/>
          <w:numId w:val="1003"/>
        </w:numPr>
        <w:pStyle w:val="Compact"/>
      </w:pPr>
      <w:r>
        <w:t xml:space="preserve">The</w:t>
      </w:r>
      <w:r>
        <w:t xml:space="preserve"> </w:t>
      </w:r>
      <w:r>
        <w:t xml:space="preserve">Business Consultant</w:t>
      </w:r>
      <w:r>
        <w:t xml:space="preserve"> </w:t>
      </w:r>
      <w:r>
        <w:t xml:space="preserve">engagement is governed by a separate Master Service Agreement (MSA) to be executed prior to commencement of work.</w:t>
      </w:r>
    </w:p>
    <w:p>
      <w:pPr>
        <w:numPr>
          <w:ilvl w:val="0"/>
          <w:numId w:val="1003"/>
        </w:numPr>
        <w:pStyle w:val="Compact"/>
      </w:pPr>
      <w:r>
        <w:t xml:space="preserve">All intellectual property, reports, models, and deliverables produced under this engagement shall become the sole property of the client upon full payment.</w:t>
      </w:r>
    </w:p>
    <w:p>
      <w:pPr>
        <w:numPr>
          <w:ilvl w:val="0"/>
          <w:numId w:val="1003"/>
        </w:numPr>
        <w:pStyle w:val="Compact"/>
      </w:pPr>
      <w:r>
        <w:t xml:space="preserve">Confidentiality obligations shall survive the termination of this engagement for a period of three (3) years, in compliance with the Kenya Data Protection Act, 2019.</w:t>
      </w:r>
    </w:p>
    <w:p>
      <w:pPr>
        <w:numPr>
          <w:ilvl w:val="0"/>
          <w:numId w:val="1003"/>
        </w:numPr>
        <w:pStyle w:val="Compact"/>
      </w:pPr>
      <w:r>
        <w:t xml:space="preserve">Force majeure events, including but not limited to natural disasters, government-imposed lockdowns, or civil unrest in Nairobi, shall suspend obligations without penalty.</w:t>
      </w:r>
    </w:p>
    <w:p>
      <w:pPr>
        <w:numPr>
          <w:ilvl w:val="0"/>
          <w:numId w:val="1003"/>
        </w:numPr>
        <w:pStyle w:val="Compact"/>
      </w:pPr>
      <w:r>
        <w:t xml:space="preserve">Disputes arising from this engagement shall be resolved through mediation in Nairobi, and failing that, through arbitration under the Arbitration Act, 1995 of Kenya.</w:t>
      </w:r>
    </w:p>
    <w:p>
      <w:pPr>
        <w:numPr>
          <w:ilvl w:val="0"/>
          <w:numId w:val="1003"/>
        </w:numPr>
        <w:pStyle w:val="Compact"/>
      </w:pPr>
      <w:r>
        <w:t xml:space="preserve">This</w:t>
      </w:r>
      <w:r>
        <w:t xml:space="preserve"> </w:t>
      </w:r>
      <w:r>
        <w:t xml:space="preserve">Quotation Estimate</w:t>
      </w:r>
      <w:r>
        <w:t xml:space="preserve"> </w:t>
      </w:r>
      <w:r>
        <w:t xml:space="preserve">does not constitute a binding contract until countersigned by both parties and the MSA is fully executed.</w:t>
      </w:r>
    </w:p>
    <w:bookmarkEnd w:id="24"/>
    <w:bookmarkStart w:id="27" w:name="assumptions-exclusions"/>
    <w:p>
      <w:pPr>
        <w:pStyle w:val="Heading2"/>
      </w:pPr>
      <w:r>
        <w:t xml:space="preserve">5. Assumptions &amp; Exclusions</w:t>
      </w:r>
    </w:p>
    <w:p>
      <w:pPr>
        <w:numPr>
          <w:ilvl w:val="0"/>
          <w:numId w:val="1004"/>
        </w:numPr>
        <w:pStyle w:val="Compact"/>
      </w:pPr>
      <w:r>
        <w:t xml:space="preserve">The client shall provide timely access to all relevant financial records, operational data, and key personnel for interviews and workshops.</w:t>
      </w:r>
    </w:p>
    <w:p>
      <w:pPr>
        <w:numPr>
          <w:ilvl w:val="0"/>
          <w:numId w:val="1004"/>
        </w:numPr>
        <w:pStyle w:val="Compact"/>
      </w:pPr>
      <w:r>
        <w:t xml:space="preserve">Costs for third-party services (legal opinions, certified audit, IT system licensing) are excluded and shall be billed at cost if engaged through us.</w:t>
      </w:r>
    </w:p>
    <w:p>
      <w:pPr>
        <w:numPr>
          <w:ilvl w:val="0"/>
          <w:numId w:val="1004"/>
        </w:numPr>
        <w:pStyle w:val="Compact"/>
      </w:pPr>
      <w:r>
        <w:t xml:space="preserve">Travel outside the Nairobi metropolitan area (e.g., Mombasa, Kisumu, Eldoret) will be quoted separately.</w:t>
      </w:r>
    </w:p>
    <w:p>
      <w:pPr>
        <w:numPr>
          <w:ilvl w:val="0"/>
          <w:numId w:val="1004"/>
        </w:numPr>
        <w:pStyle w:val="Compact"/>
      </w:pPr>
      <w:r>
        <w:t xml:space="preserve">Any scope changes exceeding 10% of the original deliverables will require a revised</w:t>
      </w:r>
      <w:r>
        <w:t xml:space="preserve"> </w:t>
      </w:r>
      <w:r>
        <w:t xml:space="preserve">Quotation Estimate</w:t>
      </w:r>
      <w:r>
        <w:t xml:space="preserve"> </w:t>
      </w:r>
      <w:r>
        <w:t xml:space="preserve">and written client approval.</w:t>
      </w:r>
    </w:p>
    <w:bookmarkStart w:id="25" w:name="prepared-by-business-consultant"/>
    <w:p>
      <w:pPr>
        <w:pStyle w:val="Heading4"/>
      </w:pPr>
      <w:r>
        <w:t xml:space="preserve">Prepared By (Business Consultant)</w:t>
      </w:r>
    </w:p>
    <w:p>
      <w:pPr>
        <w:pStyle w:val="FirstParagraph"/>
      </w:pPr>
      <w:r>
        <w:t xml:space="preserve">Name:</w:t>
      </w:r>
      <w:r>
        <w:t xml:space="preserve"> </w:t>
      </w:r>
      <w:r>
        <w:rPr>
          <w:bCs/>
          <w:b/>
        </w:rPr>
        <w:t xml:space="preserve">Dr. Wanjiku M. Kamau</w:t>
      </w:r>
    </w:p>
    <w:p>
      <w:pPr>
        <w:pStyle w:val="BodyText"/>
      </w:pPr>
      <w:r>
        <w:t xml:space="preserve">Title: Lead Business Consultant &amp; Managing Director</w:t>
      </w:r>
    </w:p>
    <w:p>
      <w:pPr>
        <w:pStyle w:val="BodyText"/>
      </w:pPr>
      <w:r>
        <w:t xml:space="preserve">Strategic Business Advisory &amp; Consulting</w:t>
      </w:r>
    </w:p>
    <w:p>
      <w:pPr>
        <w:pStyle w:val="BodyText"/>
      </w:pPr>
      <w:r>
        <w:t xml:space="preserve">Signature &amp; Date</w:t>
      </w:r>
    </w:p>
    <w:bookmarkEnd w:id="25"/>
    <w:bookmarkStart w:id="26" w:name="accepted-by-client"/>
    <w:p>
      <w:pPr>
        <w:pStyle w:val="Heading4"/>
      </w:pPr>
      <w:r>
        <w:t xml:space="preserve">Accepted By (Client)</w:t>
      </w:r>
    </w:p>
    <w:p>
      <w:pPr>
        <w:pStyle w:val="FirstParagraph"/>
      </w:pPr>
      <w:r>
        <w:t xml:space="preserve">Name: ______________________________</w:t>
      </w:r>
    </w:p>
    <w:p>
      <w:pPr>
        <w:pStyle w:val="BodyText"/>
      </w:pPr>
      <w:r>
        <w:t xml:space="preserve">Title: ______________________________</w:t>
      </w:r>
    </w:p>
    <w:p>
      <w:pPr>
        <w:pStyle w:val="BodyText"/>
      </w:pPr>
      <w:r>
        <w:t xml:space="preserve">Company: ______________________________</w:t>
      </w:r>
    </w:p>
    <w:p>
      <w:pPr>
        <w:pStyle w:val="BodyText"/>
      </w:pPr>
      <w:r>
        <w:t xml:space="preserve">Signature &amp; Date</w:t>
      </w:r>
    </w:p>
    <w:bookmarkEnd w:id="26"/>
    <w:p>
      <w:pPr>
        <w:pStyle w:val="BodyText"/>
      </w:pPr>
      <w:r>
        <w:t xml:space="preserve">This Quotation Estimate was prepared exclusively for the named client and may not be reproduced or distributed without prior written consent.</w:t>
      </w:r>
    </w:p>
    <w:p>
      <w:pPr>
        <w:pStyle w:val="BodyText"/>
      </w:pPr>
      <w:r>
        <w:t xml:space="preserve">Strategic Business Advisory &amp; Consulting | Business Consultant Services | Kenya Nairobi | © 2025</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Business Consultant - Kenya Nairobi</dc:title>
  <dc:creator/>
  <dc:language>en</dc:language>
  <cp:keywords/>
  <dcterms:created xsi:type="dcterms:W3CDTF">2026-10-10T02:37:43Z</dcterms:created>
  <dcterms:modified xsi:type="dcterms:W3CDTF">2026-10-10T02:37:43Z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