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Business Consultant Services</w:t>
      </w:r>
    </w:p>
    <w:p>
      <w:pPr>
        <w:pStyle w:val="BodyText"/>
      </w:pPr>
      <w:r>
        <w:t xml:space="preserve">Prepared for Clients in Kuwait, Kuwait City</w:t>
      </w:r>
    </w:p>
    <w:p>
      <w:pPr>
        <w:pStyle w:val="BodyText"/>
      </w:pPr>
      <w:r>
        <w:t xml:space="preserve">Document Reference: QE-KWT-2025-0472</w:t>
      </w:r>
    </w:p>
    <w:bookmarkEnd w:id="20"/>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QE-KWT-2025-0472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Kuwaiti Dinar (KWD)</w:t>
      </w:r>
    </w:p>
    <w:p>
      <w:pPr>
        <w:pStyle w:val="BodyText"/>
      </w:pPr>
      <w:r>
        <w:rPr>
          <w:bCs/>
          <w:b/>
        </w:rPr>
        <w:t xml:space="preserve">Prepared By:</w:t>
      </w:r>
      <w:r>
        <w:t xml:space="preserve"> </w:t>
      </w:r>
      <w:r>
        <w:t xml:space="preserve">Gulf Strategic Advisory LLC</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Kuwait, Kuwait City, Safat District</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+965 XXXX XXXX</w:t>
      </w:r>
    </w:p>
    <w:bookmarkEnd w:id="22"/>
    <w:p>
      <w:pPr>
        <w:pStyle w:val="BodyText"/>
      </w:pPr>
      <w:r>
        <w:t xml:space="preserve">1. Introduction and Purpose of This Quotation Estimate</w:t>
      </w:r>
    </w:p>
    <w:p>
      <w:pPr>
        <w:pStyle w:val="BodyText"/>
      </w:pPr>
      <w:r>
        <w:t xml:space="preserve">This</w:t>
      </w:r>
      <w:r>
        <w:t xml:space="preserve"> </w:t>
      </w:r>
      <w:r>
        <w:t xml:space="preserve">Quotation Estimate</w:t>
      </w:r>
      <w:r>
        <w:t xml:space="preserve"> </w:t>
      </w:r>
      <w:r>
        <w:t xml:space="preserve">is formally issued by Gulf Strategic Advisory LLC, a registered professional services firm operating in Kuwait, Kuwait City, to provide a comprehensive and transparent breakdown of costs associated with engaging a qualified</w:t>
      </w:r>
      <w:r>
        <w:t xml:space="preserve"> </w:t>
      </w:r>
      <w:r>
        <w:t xml:space="preserve">Business Consultant</w:t>
      </w:r>
      <w:r>
        <w:t xml:space="preserve"> </w:t>
      </w:r>
      <w:r>
        <w:t xml:space="preserve">for strategic advisory services. This document serves as the primary financial reference for the client to evaluate the scope, deliverables, and associated fees before entering into a formal service agreement. All pricing within this</w:t>
      </w:r>
      <w:r>
        <w:t xml:space="preserve"> </w:t>
      </w:r>
      <w:r>
        <w:t xml:space="preserve">Quotation Estimate</w:t>
      </w:r>
      <w:r>
        <w:t xml:space="preserve"> </w:t>
      </w:r>
      <w:r>
        <w:t xml:space="preserve">reflects current market rates applicable to professional consulting engagements in Kuwait, Kuwait City, and is subject to the terms and conditions outlined herein.</w:t>
      </w:r>
    </w:p>
    <w:p>
      <w:pPr>
        <w:pStyle w:val="BodyText"/>
      </w:pPr>
      <w:r>
        <w:t xml:space="preserve">2. Scope of Business Consultant Services</w:t>
      </w:r>
    </w:p>
    <w:p>
      <w:pPr>
        <w:pStyle w:val="BodyText"/>
      </w:pPr>
      <w:r>
        <w:t xml:space="preserve">The</w:t>
      </w:r>
      <w:r>
        <w:t xml:space="preserve"> </w:t>
      </w:r>
      <w:r>
        <w:t xml:space="preserve">Business Consultant</w:t>
      </w:r>
      <w:r>
        <w:t xml:space="preserve"> </w:t>
      </w:r>
      <w:r>
        <w:t xml:space="preserve">engaged under this</w:t>
      </w:r>
      <w:r>
        <w:t xml:space="preserve"> </w:t>
      </w:r>
      <w:r>
        <w:t xml:space="preserve">Quotation Estimate</w:t>
      </w:r>
      <w:r>
        <w:t xml:space="preserve"> </w:t>
      </w:r>
      <w:r>
        <w:t xml:space="preserve">will deliver the following professional services to the client's operations in Kuwait, Kuwait City:</w:t>
      </w:r>
    </w:p>
    <w:p>
      <w:pPr>
        <w:numPr>
          <w:ilvl w:val="0"/>
          <w:numId w:val="1001"/>
        </w:numPr>
        <w:pStyle w:val="Compact"/>
      </w:pPr>
      <w:r>
        <w:rPr>
          <w:bCs/>
          <w:b/>
        </w:rPr>
        <w:t xml:space="preserve">Strategic Business Planning:</w:t>
      </w:r>
      <w:r>
        <w:t xml:space="preserve"> </w:t>
      </w:r>
      <w:r>
        <w:t xml:space="preserve">Development of a five-year strategic roadmap aligned with Kuwait's National Vision 2035, including market analysis, competitive positioning, and growth strategy formulation specific to the Kuwait, Kuwait City business environment.</w:t>
      </w:r>
    </w:p>
    <w:p>
      <w:pPr>
        <w:numPr>
          <w:ilvl w:val="0"/>
          <w:numId w:val="1001"/>
        </w:numPr>
        <w:pStyle w:val="Compact"/>
      </w:pPr>
      <w:r>
        <w:rPr>
          <w:bCs/>
          <w:b/>
        </w:rPr>
        <w:t xml:space="preserve">Operational Efficiency Assessment:</w:t>
      </w:r>
      <w:r>
        <w:t xml:space="preserve"> </w:t>
      </w:r>
      <w:r>
        <w:t xml:space="preserve">Comprehensive review of existing business processes, supply chain management, and resource allocation to identify areas of improvement and cost optimization.</w:t>
      </w:r>
    </w:p>
    <w:p>
      <w:pPr>
        <w:numPr>
          <w:ilvl w:val="0"/>
          <w:numId w:val="1001"/>
        </w:numPr>
        <w:pStyle w:val="Compact"/>
      </w:pPr>
      <w:r>
        <w:rPr>
          <w:bCs/>
          <w:b/>
        </w:rPr>
        <w:t xml:space="preserve">Financial Advisory and Forecasting:</w:t>
      </w:r>
      <w:r>
        <w:t xml:space="preserve"> </w:t>
      </w:r>
      <w:r>
        <w:t xml:space="preserve">Preparation of detailed financial models, cash flow projections, and investment return analyses tailored to the regulatory and economic landscape of Kuwait, Kuwait City.</w:t>
      </w:r>
    </w:p>
    <w:p>
      <w:pPr>
        <w:numPr>
          <w:ilvl w:val="0"/>
          <w:numId w:val="1001"/>
        </w:numPr>
        <w:pStyle w:val="Compact"/>
      </w:pPr>
      <w:r>
        <w:rPr>
          <w:bCs/>
          <w:b/>
        </w:rPr>
        <w:t xml:space="preserve">Organizational Development:</w:t>
      </w:r>
      <w:r>
        <w:t xml:space="preserve"> </w:t>
      </w:r>
      <w:r>
        <w:t xml:space="preserve">Design of organizational structures, leadership development frameworks, and talent acquisition strategies to support sustainable growth.</w:t>
      </w:r>
    </w:p>
    <w:p>
      <w:pPr>
        <w:numPr>
          <w:ilvl w:val="0"/>
          <w:numId w:val="1001"/>
        </w:numPr>
        <w:pStyle w:val="Compact"/>
      </w:pPr>
      <w:r>
        <w:rPr>
          <w:bCs/>
          <w:b/>
        </w:rPr>
        <w:t xml:space="preserve">Regulatory Compliance Guidance:</w:t>
      </w:r>
      <w:r>
        <w:t xml:space="preserve"> </w:t>
      </w:r>
      <w:r>
        <w:t xml:space="preserve">Advisory on Kuwaiti commercial law, tax obligations, labor regulations, and sector-specific compliance requirements applicable to businesses operating in Kuwait, Kuwait City.</w:t>
      </w:r>
    </w:p>
    <w:p>
      <w:pPr>
        <w:numPr>
          <w:ilvl w:val="0"/>
          <w:numId w:val="1001"/>
        </w:numPr>
        <w:pStyle w:val="Compact"/>
      </w:pPr>
      <w:r>
        <w:rPr>
          <w:bCs/>
          <w:b/>
        </w:rPr>
        <w:t xml:space="preserve">Market Entry and Expansion Strategy:</w:t>
      </w:r>
      <w:r>
        <w:t xml:space="preserve"> </w:t>
      </w:r>
      <w:r>
        <w:t xml:space="preserve">Feasibility studies and go-to-market plans for new product lines or geographic expansion within the GCC region, with primary focus on Kuwait, Kuwait City.</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(KWD)</w:t>
            </w:r>
          </w:p>
        </w:tc>
        <w:tc>
          <w:tcPr/>
          <w:p>
            <w:pPr>
              <w:pStyle w:val="Compact"/>
              <w:jc w:val="left"/>
            </w:pPr>
            <w:r>
              <w:t xml:space="preserve">Amount (KWD)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Business Assessment &amp; Diagnostic Review</w:t>
            </w:r>
          </w:p>
        </w:tc>
        <w:tc>
          <w:tcPr/>
          <w:p>
            <w:pPr>
              <w:pStyle w:val="Compact"/>
              <w:jc w:val="left"/>
            </w:pPr>
            <w:r>
              <w:t xml:space="preserve">2 weeks</w:t>
            </w:r>
          </w:p>
        </w:tc>
        <w:tc>
          <w:tcPr/>
          <w:p>
            <w:pPr>
              <w:pStyle w:val="Compact"/>
              <w:jc w:val="left"/>
            </w:pPr>
            <w:r>
              <w:t xml:space="preserve">4,500</w:t>
            </w:r>
          </w:p>
        </w:tc>
        <w:tc>
          <w:tcPr/>
          <w:p>
            <w:pPr>
              <w:pStyle w:val="Compact"/>
              <w:jc w:val="left"/>
            </w:pPr>
            <w:r>
              <w:t xml:space="preserve">4,500.00</w:t>
            </w:r>
          </w:p>
        </w:tc>
        <w:tc>
          <w:tcPr/>
          <w:p>
            <w:pPr>
              <w:pStyle w:val="Compact"/>
              <w:jc w:val="left"/>
            </w:pPr>
            <w:r>
              <w:t xml:space="preserve">On-site in Kuwait, Kuwait City</w:t>
            </w:r>
          </w:p>
        </w:tc>
      </w:tr>
      <w:tr>
        <w:tc>
          <w:tcPr/>
          <w:p>
            <w:pPr>
              <w:pStyle w:val="Compact"/>
              <w:jc w:val="left"/>
            </w:pPr>
            <w:r>
              <w:t xml:space="preserve">2</w:t>
            </w:r>
          </w:p>
        </w:tc>
        <w:tc>
          <w:tcPr/>
          <w:p>
            <w:pPr>
              <w:pStyle w:val="Compact"/>
              <w:jc w:val="left"/>
            </w:pPr>
            <w:r>
              <w:t xml:space="preserve">Strategic Planning &amp; Roadmap Development</w:t>
            </w:r>
          </w:p>
        </w:tc>
        <w:tc>
          <w:tcPr/>
          <w:p>
            <w:pPr>
              <w:pStyle w:val="Compact"/>
              <w:jc w:val="left"/>
            </w:pPr>
            <w:r>
              <w:t xml:space="preserve">4 weeks</w:t>
            </w:r>
          </w:p>
        </w:tc>
        <w:tc>
          <w:tcPr/>
          <w:p>
            <w:pPr>
              <w:pStyle w:val="Compact"/>
              <w:jc w:val="left"/>
            </w:pPr>
            <w:r>
              <w:t xml:space="preserve">8,000</w:t>
            </w:r>
          </w:p>
        </w:tc>
        <w:tc>
          <w:tcPr/>
          <w:p>
            <w:pPr>
              <w:pStyle w:val="Compact"/>
              <w:jc w:val="left"/>
            </w:pPr>
            <w:r>
              <w:t xml:space="preserve">8,000.00</w:t>
            </w:r>
          </w:p>
        </w:tc>
        <w:tc>
          <w:tcPr/>
          <w:p>
            <w:pPr>
              <w:pStyle w:val="Compact"/>
              <w:jc w:val="left"/>
            </w:pPr>
            <w:r>
              <w:t xml:space="preserve">Includes 3 stakeholder workshops</w:t>
            </w:r>
          </w:p>
        </w:tc>
      </w:tr>
      <w:tr>
        <w:tc>
          <w:tcPr/>
          <w:p>
            <w:pPr>
              <w:pStyle w:val="Compact"/>
              <w:jc w:val="left"/>
            </w:pPr>
            <w:r>
              <w:t xml:space="preserve">3</w:t>
            </w:r>
          </w:p>
        </w:tc>
        <w:tc>
          <w:tcPr/>
          <w:p>
            <w:pPr>
              <w:pStyle w:val="Compact"/>
              <w:jc w:val="left"/>
            </w:pPr>
            <w:r>
              <w:t xml:space="preserve">Operational Efficiency Audit &amp; Recommendations</w:t>
            </w:r>
          </w:p>
        </w:tc>
        <w:tc>
          <w:tcPr/>
          <w:p>
            <w:pPr>
              <w:pStyle w:val="Compact"/>
              <w:jc w:val="left"/>
            </w:pPr>
            <w:r>
              <w:t xml:space="preserve">3 weeks</w:t>
            </w:r>
          </w:p>
        </w:tc>
        <w:tc>
          <w:tcPr/>
          <w:p>
            <w:pPr>
              <w:pStyle w:val="Compact"/>
              <w:jc w:val="left"/>
            </w:pPr>
            <w:r>
              <w:t xml:space="preserve">6,500</w:t>
            </w:r>
          </w:p>
        </w:tc>
        <w:tc>
          <w:tcPr/>
          <w:p>
            <w:pPr>
              <w:pStyle w:val="Compact"/>
              <w:jc w:val="left"/>
            </w:pPr>
            <w:r>
              <w:t xml:space="preserve">6,500.00</w:t>
            </w:r>
          </w:p>
        </w:tc>
        <w:tc>
          <w:tcPr/>
          <w:p>
            <w:pPr>
              <w:pStyle w:val="Compact"/>
              <w:jc w:val="left"/>
            </w:pPr>
            <w:r>
              <w:t xml:space="preserve">Detailed report with KPIs</w:t>
            </w:r>
          </w:p>
        </w:tc>
      </w:tr>
      <w:tr>
        <w:tc>
          <w:tcPr/>
          <w:p>
            <w:pPr>
              <w:pStyle w:val="Compact"/>
              <w:jc w:val="left"/>
            </w:pPr>
            <w:r>
              <w:t xml:space="preserve">4</w:t>
            </w:r>
          </w:p>
        </w:tc>
        <w:tc>
          <w:tcPr/>
          <w:p>
            <w:pPr>
              <w:pStyle w:val="Compact"/>
              <w:jc w:val="left"/>
            </w:pPr>
            <w:r>
              <w:t xml:space="preserve">Financial Modeling &amp; Investment Analysis</w:t>
            </w:r>
          </w:p>
        </w:tc>
        <w:tc>
          <w:tcPr/>
          <w:p>
            <w:pPr>
              <w:pStyle w:val="Compact"/>
              <w:jc w:val="left"/>
            </w:pPr>
            <w:r>
              <w:t xml:space="preserve">3 weeks</w:t>
            </w:r>
          </w:p>
        </w:tc>
        <w:tc>
          <w:tcPr/>
          <w:p>
            <w:pPr>
              <w:pStyle w:val="Compact"/>
              <w:jc w:val="left"/>
            </w:pPr>
            <w:r>
              <w:t xml:space="preserve">7,200</w:t>
            </w:r>
          </w:p>
        </w:tc>
        <w:tc>
          <w:tcPr/>
          <w:p>
            <w:pPr>
              <w:pStyle w:val="Compact"/>
              <w:jc w:val="left"/>
            </w:pPr>
            <w:r>
              <w:t xml:space="preserve">7,200.00</w:t>
            </w:r>
          </w:p>
        </w:tc>
        <w:tc>
          <w:tcPr/>
          <w:p>
            <w:pPr>
              <w:pStyle w:val="Compact"/>
              <w:jc w:val="left"/>
            </w:pPr>
            <w:r>
              <w:t xml:space="preserve">5-year projection model</w:t>
            </w:r>
          </w:p>
        </w:tc>
      </w:tr>
      <w:tr>
        <w:tc>
          <w:tcPr/>
          <w:p>
            <w:pPr>
              <w:pStyle w:val="Compact"/>
              <w:jc w:val="left"/>
            </w:pPr>
            <w:r>
              <w:t xml:space="preserve">5</w:t>
            </w:r>
          </w:p>
        </w:tc>
        <w:tc>
          <w:tcPr/>
          <w:p>
            <w:pPr>
              <w:pStyle w:val="Compact"/>
              <w:jc w:val="left"/>
            </w:pPr>
            <w:r>
              <w:t xml:space="preserve">Organizational Design &amp; Leadership Framework</w:t>
            </w:r>
          </w:p>
        </w:tc>
        <w:tc>
          <w:tcPr/>
          <w:p>
            <w:pPr>
              <w:pStyle w:val="Compact"/>
              <w:jc w:val="left"/>
            </w:pPr>
            <w:r>
              <w:t xml:space="preserve">2 weeks</w:t>
            </w:r>
          </w:p>
        </w:tc>
        <w:tc>
          <w:tcPr/>
          <w:p>
            <w:pPr>
              <w:pStyle w:val="Compact"/>
              <w:jc w:val="left"/>
            </w:pPr>
            <w:r>
              <w:t xml:space="preserve">5,000</w:t>
            </w:r>
          </w:p>
        </w:tc>
        <w:tc>
          <w:tcPr/>
          <w:p>
            <w:pPr>
              <w:pStyle w:val="Compact"/>
              <w:jc w:val="left"/>
            </w:pPr>
            <w:r>
              <w:t xml:space="preserve">5,000.00</w:t>
            </w:r>
          </w:p>
        </w:tc>
        <w:tc>
          <w:tcPr/>
          <w:p>
            <w:pPr>
              <w:pStyle w:val="Compact"/>
              <w:jc w:val="left"/>
            </w:pPr>
            <w:r>
              <w:t xml:space="preserve">Includes training materials</w:t>
            </w:r>
          </w:p>
        </w:tc>
      </w:tr>
      <w:tr>
        <w:tc>
          <w:tcPr/>
          <w:p>
            <w:pPr>
              <w:pStyle w:val="Compact"/>
              <w:jc w:val="left"/>
            </w:pPr>
            <w:r>
              <w:t xml:space="preserve">6</w:t>
            </w:r>
          </w:p>
        </w:tc>
        <w:tc>
          <w:tcPr/>
          <w:p>
            <w:pPr>
              <w:pStyle w:val="Compact"/>
              <w:jc w:val="left"/>
            </w:pPr>
            <w:r>
              <w:t xml:space="preserve">Regulatory Compliance Advisory (Kuwait, Kuwait City)</w:t>
            </w:r>
          </w:p>
        </w:tc>
        <w:tc>
          <w:tcPr/>
          <w:p>
            <w:pPr>
              <w:pStyle w:val="Compact"/>
              <w:jc w:val="left"/>
            </w:pPr>
            <w:r>
              <w:t xml:space="preserve">2 weeks</w:t>
            </w:r>
          </w:p>
        </w:tc>
        <w:tc>
          <w:tcPr/>
          <w:p>
            <w:pPr>
              <w:pStyle w:val="Compact"/>
              <w:jc w:val="left"/>
            </w:pPr>
            <w:r>
              <w:t xml:space="preserve">4,800</w:t>
            </w:r>
          </w:p>
        </w:tc>
        <w:tc>
          <w:tcPr/>
          <w:p>
            <w:pPr>
              <w:pStyle w:val="Compact"/>
              <w:jc w:val="left"/>
            </w:pPr>
            <w:r>
              <w:t xml:space="preserve">4,800.00</w:t>
            </w:r>
          </w:p>
        </w:tc>
        <w:tc>
          <w:tcPr/>
          <w:p>
            <w:pPr>
              <w:pStyle w:val="Compact"/>
              <w:jc w:val="left"/>
            </w:pPr>
            <w:r>
              <w:t xml:space="preserve">Per Kuwaiti commercial law</w:t>
            </w:r>
          </w:p>
        </w:tc>
      </w:tr>
      <w:tr>
        <w:tc>
          <w:tcPr/>
          <w:p>
            <w:pPr>
              <w:pStyle w:val="Compact"/>
              <w:jc w:val="left"/>
            </w:pPr>
            <w:r>
              <w:t xml:space="preserve">7</w:t>
            </w:r>
          </w:p>
        </w:tc>
        <w:tc>
          <w:tcPr/>
          <w:p>
            <w:pPr>
              <w:pStyle w:val="Compact"/>
              <w:jc w:val="left"/>
            </w:pPr>
            <w:r>
              <w:t xml:space="preserve">Market Entry Feasibility Study (GCC Focus)</w:t>
            </w:r>
          </w:p>
        </w:tc>
        <w:tc>
          <w:tcPr/>
          <w:p>
            <w:pPr>
              <w:pStyle w:val="Compact"/>
              <w:jc w:val="left"/>
            </w:pPr>
            <w:r>
              <w:t xml:space="preserve">3 weeks</w:t>
            </w:r>
          </w:p>
        </w:tc>
        <w:tc>
          <w:tcPr/>
          <w:p>
            <w:pPr>
              <w:pStyle w:val="Compact"/>
              <w:jc w:val="left"/>
            </w:pPr>
            <w:r>
              <w:t xml:space="preserve">6,000</w:t>
            </w:r>
          </w:p>
        </w:tc>
        <w:tc>
          <w:tcPr/>
          <w:p>
            <w:pPr>
              <w:pStyle w:val="Compact"/>
              <w:jc w:val="left"/>
            </w:pPr>
            <w:r>
              <w:t xml:space="preserve">6,000.00</w:t>
            </w:r>
          </w:p>
        </w:tc>
        <w:tc>
          <w:tcPr/>
          <w:p>
            <w:pPr>
              <w:pStyle w:val="Compact"/>
              <w:jc w:val="left"/>
            </w:pPr>
            <w:r>
              <w:t xml:space="preserve">Primary market: Kuwait, Kuwait City</w:t>
            </w:r>
          </w:p>
        </w:tc>
      </w:tr>
      <w:tr>
        <w:tc>
          <w:tcPr/>
          <w:p>
            <w:pPr>
              <w:pStyle w:val="Compact"/>
              <w:jc w:val="left"/>
            </w:pPr>
            <w:r>
              <w:t xml:space="preserve">8</w:t>
            </w:r>
          </w:p>
        </w:tc>
        <w:tc>
          <w:tcPr/>
          <w:p>
            <w:pPr>
              <w:pStyle w:val="Compact"/>
              <w:jc w:val="left"/>
            </w:pPr>
            <w:r>
              <w:t xml:space="preserve">Ongoing Advisory &amp; Implementation Support (Monthly)</w:t>
            </w:r>
          </w:p>
        </w:tc>
        <w:tc>
          <w:tcPr/>
          <w:p>
            <w:pPr>
              <w:pStyle w:val="Compact"/>
              <w:jc w:val="left"/>
            </w:pPr>
            <w:r>
              <w:t xml:space="preserve">6 months</w:t>
            </w:r>
          </w:p>
        </w:tc>
        <w:tc>
          <w:tcPr/>
          <w:p>
            <w:pPr>
              <w:pStyle w:val="Compact"/>
              <w:jc w:val="left"/>
            </w:pPr>
            <w:r>
              <w:t xml:space="preserve">3,500/mo</w:t>
            </w:r>
          </w:p>
        </w:tc>
        <w:tc>
          <w:tcPr/>
          <w:p>
            <w:pPr>
              <w:pStyle w:val="Compact"/>
              <w:jc w:val="left"/>
            </w:pPr>
            <w:r>
              <w:t xml:space="preserve">21,000.00</w:t>
            </w:r>
          </w:p>
        </w:tc>
        <w:tc>
          <w:tcPr/>
          <w:p>
            <w:pPr>
              <w:pStyle w:val="Compact"/>
              <w:jc w:val="left"/>
            </w:pPr>
            <w:r>
              <w:t xml:space="preserve">Bi-weekly meetings included</w:t>
            </w:r>
          </w:p>
        </w:tc>
      </w:tr>
      <w:tr>
        <w:tc>
          <w:tcPr/>
          <w:p>
            <w:pPr>
              <w:pStyle w:val="Compact"/>
              <w:jc w:val="left"/>
            </w:pPr>
            <w:r>
              <w:t xml:space="preserve">9</w:t>
            </w:r>
          </w:p>
        </w:tc>
        <w:tc>
          <w:tcPr/>
          <w:p>
            <w:pPr>
              <w:pStyle w:val="Compact"/>
              <w:jc w:val="left"/>
            </w:pPr>
            <w:r>
              <w:t xml:space="preserve">Travel, Accommodation &amp; Local Logistics (Kuwait, Kuwait City)</w:t>
            </w:r>
          </w:p>
        </w:tc>
        <w:tc>
          <w:tcPr/>
          <w:p>
            <w:pPr>
              <w:pStyle w:val="Compact"/>
              <w:jc w:val="left"/>
            </w:pPr>
            <w:r>
              <w:t xml:space="preserve">Project duration</w:t>
            </w:r>
          </w:p>
        </w:tc>
        <w:tc>
          <w:tcPr/>
          <w:p>
            <w:pPr>
              <w:pStyle w:val="Compact"/>
              <w:jc w:val="left"/>
            </w:pPr>
            <w:r>
              <w:t xml:space="preserve">Flat fee</w:t>
            </w:r>
          </w:p>
        </w:tc>
        <w:tc>
          <w:tcPr/>
          <w:p>
            <w:pPr>
              <w:pStyle w:val="Compact"/>
              <w:jc w:val="left"/>
            </w:pPr>
            <w:r>
              <w:t xml:space="preserve">3,200.00</w:t>
            </w:r>
          </w:p>
        </w:tc>
        <w:tc>
          <w:tcPr/>
          <w:p>
            <w:pPr>
              <w:pStyle w:val="Compact"/>
              <w:jc w:val="left"/>
            </w:pPr>
            <w:r>
              <w:t xml:space="preserve">Within Kuwait, Kuwait City limits</w:t>
            </w:r>
          </w:p>
        </w:tc>
      </w:tr>
      <w:tr>
        <w:tc>
          <w:tcPr/>
          <w:p>
            <w:pPr>
              <w:pStyle w:val="Compact"/>
              <w:jc w:val="left"/>
            </w:pPr>
            <w:r>
              <w:t xml:space="preserve">10</w:t>
            </w:r>
          </w:p>
        </w:tc>
        <w:tc>
          <w:tcPr/>
          <w:p>
            <w:pPr>
              <w:pStyle w:val="Compact"/>
              <w:jc w:val="left"/>
            </w:pPr>
            <w:r>
              <w:t xml:space="preserve">Documentation, Reporting &amp; Final Presentation</w:t>
            </w:r>
          </w:p>
        </w:tc>
        <w:tc>
          <w:tcPr/>
          <w:p>
            <w:pPr>
              <w:pStyle w:val="Compact"/>
              <w:jc w:val="left"/>
            </w:pPr>
            <w:r>
              <w:t xml:space="preserve">1 week</w:t>
            </w:r>
          </w:p>
        </w:tc>
        <w:tc>
          <w:tcPr/>
          <w:p>
            <w:pPr>
              <w:pStyle w:val="Compact"/>
              <w:jc w:val="left"/>
            </w:pPr>
            <w:r>
              <w:t xml:space="preserve">2,500</w:t>
            </w:r>
          </w:p>
        </w:tc>
        <w:tc>
          <w:tcPr/>
          <w:p>
            <w:pPr>
              <w:pStyle w:val="Compact"/>
              <w:jc w:val="left"/>
            </w:pPr>
            <w:r>
              <w:t xml:space="preserve">2,500.00</w:t>
            </w:r>
          </w:p>
        </w:tc>
        <w:tc>
          <w:tcPr/>
          <w:p>
            <w:pPr>
              <w:pStyle w:val="Compact"/>
              <w:jc w:val="left"/>
            </w:pPr>
            <w:r>
              <w:t xml:space="preserve">Hard &amp; digital copies</w:t>
            </w:r>
          </w:p>
        </w:tc>
      </w:tr>
      <w:tr>
        <w:tc>
          <w:tcPr>
            <w:gridSpan w:val="4"/>
          </w:tcPr>
          <w:p>
            <w:pPr>
              <w:pStyle w:val="Compact"/>
              <w:jc w:val="right"/>
            </w:pPr>
            <w:r>
              <w:t xml:space="preserve">Subtotal</w:t>
            </w:r>
          </w:p>
        </w:tc>
        <w:tc>
          <w:tcPr/>
          <w:p>
            <w:pPr>
              <w:pStyle w:val="Compact"/>
              <w:jc w:val="left"/>
            </w:pPr>
            <w:r>
              <w:t xml:space="preserve">70,500.00</w:t>
            </w:r>
          </w:p>
        </w:tc>
        <w:tc>
          <w:tcPr/>
          <w:p>
            <w:pPr>
              <w:pStyle w:val="Compact"/>
            </w:pPr>
          </w:p>
        </w:tc>
      </w:tr>
      <w:tr>
        <w:tc>
          <w:tcPr>
            <w:gridSpan w:val="4"/>
          </w:tcPr>
          <w:p>
            <w:pPr>
              <w:pStyle w:val="Compact"/>
              <w:jc w:val="right"/>
            </w:pPr>
            <w:r>
              <w:t xml:space="preserve">VAT (5% - Kuwait Standard Rate)</w:t>
            </w:r>
          </w:p>
        </w:tc>
        <w:tc>
          <w:tcPr/>
          <w:p>
            <w:pPr>
              <w:pStyle w:val="Compact"/>
              <w:jc w:val="left"/>
            </w:pPr>
            <w:r>
              <w:t xml:space="preserve">3,525.00</w:t>
            </w:r>
          </w:p>
        </w:tc>
        <w:tc>
          <w:tcPr/>
          <w:p>
            <w:pPr>
              <w:pStyle w:val="Compact"/>
            </w:pPr>
          </w:p>
        </w:tc>
      </w:tr>
      <w:tr>
        <w:tc>
          <w:tcPr>
            <w:gridSpan w:val="4"/>
          </w:tcPr>
          <w:p>
            <w:pPr>
              <w:pStyle w:val="Compact"/>
              <w:jc w:val="right"/>
            </w:pPr>
            <w:r>
              <w:t xml:space="preserve">TOTAL AMOUNT DUE (KWD)</w:t>
            </w:r>
          </w:p>
        </w:tc>
        <w:tc>
          <w:tcPr/>
          <w:p>
            <w:pPr>
              <w:pStyle w:val="Compact"/>
              <w:jc w:val="left"/>
            </w:pPr>
            <w:r>
              <w:t xml:space="preserve">74,025.00</w:t>
            </w:r>
          </w:p>
        </w:tc>
        <w:tc>
          <w:tcPr/>
          <w:p>
            <w:pPr>
              <w:pStyle w:val="Compact"/>
            </w:pPr>
          </w:p>
        </w:tc>
      </w:tr>
    </w:tbl>
    <w:p>
      <w:pPr>
        <w:pStyle w:val="BodyText"/>
      </w:pPr>
      <w:r>
        <w:t xml:space="preserve">4. Payment Terms and Schedule</w:t>
      </w:r>
    </w:p>
    <w:p>
      <w:pPr>
        <w:pStyle w:val="BodyText"/>
      </w:pPr>
      <w:r>
        <w:t xml:space="preserve">The total amount specified in this</w:t>
      </w:r>
      <w:r>
        <w:t xml:space="preserve"> </w:t>
      </w:r>
      <w:r>
        <w:t xml:space="preserve">Quotation Estimate</w:t>
      </w:r>
      <w:r>
        <w:t xml:space="preserve"> </w:t>
      </w:r>
      <w:r>
        <w:t xml:space="preserve">shall be paid according to the following schedule, which is standard for</w:t>
      </w:r>
      <w:r>
        <w:t xml:space="preserve"> </w:t>
      </w:r>
      <w:r>
        <w:t xml:space="preserve">Business Consultant</w:t>
      </w:r>
      <w:r>
        <w:t xml:space="preserve"> </w:t>
      </w:r>
      <w:r>
        <w:t xml:space="preserve">engagements in Kuwait, Kuwait City:</w:t>
      </w:r>
    </w:p>
    <w:p>
      <w:pPr>
        <w:numPr>
          <w:ilvl w:val="0"/>
          <w:numId w:val="1002"/>
        </w:numPr>
        <w:pStyle w:val="Compact"/>
      </w:pPr>
      <w:r>
        <w:rPr>
          <w:bCs/>
          <w:b/>
        </w:rPr>
        <w:t xml:space="preserve">Advance Payment (30%):</w:t>
      </w:r>
      <w:r>
        <w:t xml:space="preserve"> </w:t>
      </w:r>
      <w:r>
        <w:t xml:space="preserve">KWD 22,207.50 due upon signed acceptance of this</w:t>
      </w:r>
      <w:r>
        <w:t xml:space="preserve"> </w:t>
      </w:r>
      <w:r>
        <w:t xml:space="preserve">Quotation Estimate</w:t>
      </w:r>
      <w:r>
        <w:t xml:space="preserve"> </w:t>
      </w:r>
      <w:r>
        <w:t xml:space="preserve">and execution of the master service agreement.</w:t>
      </w:r>
    </w:p>
    <w:p>
      <w:pPr>
        <w:numPr>
          <w:ilvl w:val="0"/>
          <w:numId w:val="1002"/>
        </w:numPr>
        <w:pStyle w:val="Compact"/>
      </w:pPr>
      <w:r>
        <w:rPr>
          <w:bCs/>
          <w:b/>
        </w:rPr>
        <w:t xml:space="preserve">Milestone Payment (40%):</w:t>
      </w:r>
      <w:r>
        <w:t xml:space="preserve"> </w:t>
      </w:r>
      <w:r>
        <w:t xml:space="preserve">KWD 29,610.00 due upon completion of the Strategic Planning and Operational Efficiency deliverables (approximately Week 9).</w:t>
      </w:r>
    </w:p>
    <w:p>
      <w:pPr>
        <w:numPr>
          <w:ilvl w:val="0"/>
          <w:numId w:val="1002"/>
        </w:numPr>
        <w:pStyle w:val="Compact"/>
      </w:pPr>
      <w:r>
        <w:rPr>
          <w:bCs/>
          <w:b/>
        </w:rPr>
        <w:t xml:space="preserve">Final Payment (30%):</w:t>
      </w:r>
      <w:r>
        <w:t xml:space="preserve"> </w:t>
      </w:r>
      <w:r>
        <w:t xml:space="preserve">KWD 22,207.50 due upon delivery of the final comprehensive report and completion of the six-month advisory period.</w:t>
      </w:r>
    </w:p>
    <w:p>
      <w:pPr>
        <w:pStyle w:val="FirstParagraph"/>
      </w:pPr>
      <w:r>
        <w:t xml:space="preserve">All payments shall be made via bank transfer to the designated account of Gulf Strategic Advisory LLC, Kuwait, Kuwait City. Invoices will be issued in Kuwaiti Dinar (KWD) and are payable within fourteen (14) calendar days of the invoice date.</w:t>
      </w:r>
    </w:p>
    <w:p>
      <w:pPr>
        <w:pStyle w:val="BodyText"/>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the</w:t>
      </w:r>
      <w:r>
        <w:t xml:space="preserve"> </w:t>
      </w:r>
      <w:r>
        <w:t xml:space="preserve">Business Consultant</w:t>
      </w:r>
      <w:r>
        <w:t xml:space="preserve"> </w:t>
      </w:r>
      <w:r>
        <w:t xml:space="preserve">reserves the right to revise pricing based on market conditions in Kuwait, Kuwait City.</w:t>
      </w:r>
    </w:p>
    <w:p>
      <w:pPr>
        <w:numPr>
          <w:ilvl w:val="0"/>
          <w:numId w:val="1003"/>
        </w:numPr>
        <w:pStyle w:val="Compact"/>
      </w:pPr>
      <w:r>
        <w:t xml:space="preserve">All services described herein will be performed by a certified</w:t>
      </w:r>
      <w:r>
        <w:t xml:space="preserve"> </w:t>
      </w:r>
      <w:r>
        <w:t xml:space="preserve">Business Consultant</w:t>
      </w:r>
      <w:r>
        <w:t xml:space="preserve"> </w:t>
      </w:r>
      <w:r>
        <w:t xml:space="preserve">with a minimum of fifteen (15) years of experience in the GCC market, with specific expertise in the Kuwait, Kuwait City commercial sector.</w:t>
      </w:r>
    </w:p>
    <w:p>
      <w:pPr>
        <w:numPr>
          <w:ilvl w:val="0"/>
          <w:numId w:val="1003"/>
        </w:numPr>
        <w:pStyle w:val="Compact"/>
      </w:pPr>
      <w:r>
        <w:t xml:space="preserve">The client agrees to provide timely access to relevant business records, personnel, and facilities located in Kuwait, Kuwait City, to facilitate the consulting engagement.</w:t>
      </w:r>
    </w:p>
    <w:p>
      <w:pPr>
        <w:numPr>
          <w:ilvl w:val="0"/>
          <w:numId w:val="1003"/>
        </w:numPr>
        <w:pStyle w:val="Compact"/>
      </w:pPr>
      <w:r>
        <w:t xml:space="preserve">Confidentiality: All information exchanged during the engagement is subject to a mutual Non-Disclosure Agreement (NDA) to be executed prior to the commencement of work.</w:t>
      </w:r>
    </w:p>
    <w:p>
      <w:pPr>
        <w:numPr>
          <w:ilvl w:val="0"/>
          <w:numId w:val="1003"/>
        </w:numPr>
        <w:pStyle w:val="Compact"/>
      </w:pPr>
      <w:r>
        <w:t xml:space="preserve">Intellectual Property: All reports, models, and strategic documents produced by the</w:t>
      </w:r>
      <w:r>
        <w:t xml:space="preserve"> </w:t>
      </w:r>
      <w:r>
        <w:t xml:space="preserve">Business Consultant</w:t>
      </w:r>
      <w:r>
        <w:t xml:space="preserve"> </w:t>
      </w:r>
      <w:r>
        <w:t xml:space="preserve">shall become the exclusive property of the client upon full payment of the amounts stated in this</w:t>
      </w:r>
      <w:r>
        <w:t xml:space="preserve"> </w:t>
      </w:r>
      <w:r>
        <w:t xml:space="preserve">Quotation Estimate</w:t>
      </w:r>
      <w:r>
        <w:t xml:space="preserve">.</w:t>
      </w:r>
    </w:p>
    <w:p>
      <w:pPr>
        <w:numPr>
          <w:ilvl w:val="0"/>
          <w:numId w:val="1003"/>
        </w:numPr>
        <w:pStyle w:val="Compact"/>
      </w:pPr>
      <w:r>
        <w:t xml:space="preserve">Force Majeure: Neither party shall be liable for delays caused by events beyond reasonable control, including but not limited to government directives, natural disasters, or public health emergencies affecting Kuwait, Kuwait City.</w:t>
      </w:r>
    </w:p>
    <w:p>
      <w:pPr>
        <w:numPr>
          <w:ilvl w:val="0"/>
          <w:numId w:val="1003"/>
        </w:numPr>
        <w:pStyle w:val="Compact"/>
      </w:pPr>
      <w:r>
        <w:t xml:space="preserve">Dispute Resolution: Any disputes arising from this engagement shall be resolved through amicable negotiation. Failing resolution within thirty (30) days, the matter shall be referred to arbitration under the rules of the Kuwait Chamber of Commerce and Industry in Kuwait, Kuwait City.</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a master service agreement is executed.</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the</w:t>
      </w:r>
      <w:r>
        <w:t xml:space="preserve"> </w:t>
      </w:r>
      <w:r>
        <w:t xml:space="preserve">Business Consultant</w:t>
      </w:r>
      <w:r>
        <w:t xml:space="preserve"> </w:t>
      </w:r>
      <w:r>
        <w:t xml:space="preserve">in Kuwait, Kuwait City. This acceptance authorizes Gulf Strategic Advisory LLC to commence the services described herein upon receipt of the advance payment.</w:t>
      </w:r>
    </w:p>
    <w:p>
      <w:pPr>
        <w:pStyle w:val="BodyText"/>
      </w:pPr>
      <w:r>
        <w:rPr>
          <w:bCs/>
          <w:b/>
        </w:rPr>
        <w:t xml:space="preserve">For Gulf Strategic Advisory LLC</w:t>
      </w:r>
      <w:r>
        <w:br/>
      </w:r>
      <w:r>
        <w:t xml:space="preserve">Business Consultant / Lead Consultant</w:t>
      </w:r>
      <w:r>
        <w:br/>
      </w:r>
      <w:r>
        <w:t xml:space="preserve">Name: ___________________________</w:t>
      </w:r>
      <w:r>
        <w:br/>
      </w:r>
      <w:r>
        <w:t xml:space="preserve">Signature: _______________________</w:t>
      </w:r>
      <w:r>
        <w:br/>
      </w:r>
      <w:r>
        <w:t xml:space="preserve">Date: ___________________________</w:t>
      </w:r>
    </w:p>
    <w:p>
      <w:pPr>
        <w:pStyle w:val="BodyText"/>
      </w:pPr>
      <w:r>
        <w:rPr>
          <w:bCs/>
          <w:b/>
        </w:rPr>
        <w:t xml:space="preserve">For the Client</w:t>
      </w:r>
      <w:r>
        <w:br/>
      </w:r>
      <w:r>
        <w:t xml:space="preserve">Authorized Representative</w:t>
      </w:r>
      <w:r>
        <w:br/>
      </w:r>
      <w:r>
        <w:t xml:space="preserve">Name: ___________________________</w:t>
      </w:r>
      <w:r>
        <w:br/>
      </w:r>
      <w:r>
        <w:t xml:space="preserve">Signature: _______________________</w:t>
      </w:r>
      <w:r>
        <w:br/>
      </w:r>
      <w:r>
        <w:t xml:space="preserve">Date: ___________________________</w:t>
      </w:r>
    </w:p>
    <w:p>
      <w:pPr>
        <w:pStyle w:val="BodyText"/>
      </w:pPr>
      <w:r>
        <w:rPr>
          <w:bCs/>
          <w:b/>
        </w:rPr>
        <w:t xml:space="preserve">Gulf Strategic Advisory LLC</w:t>
      </w:r>
      <w:r>
        <w:t xml:space="preserve"> </w:t>
      </w:r>
      <w:r>
        <w:t xml:space="preserve">| Business Consultant Services | Kuwait, Kuwait City, Safat District, P.O. Box 12345, Kuwait</w:t>
      </w:r>
    </w:p>
    <w:p>
      <w:pPr>
        <w:pStyle w:val="BodyText"/>
      </w:pPr>
      <w:r>
        <w:t xml:space="preserve">Phone: +965 2222 3333 | Email: info@gulfstrategicadvisory.kw | CR: 123456-789</w:t>
      </w:r>
    </w:p>
    <w:p>
      <w:pPr>
        <w:pStyle w:val="BodyText"/>
      </w:pPr>
      <w:r>
        <w:t xml:space="preserve">This Quotation Estimate (Ref: QE-KWT-2025-0472) is the property of Gulf Strategic Advisory LLC and is intended solely for the named client.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Kuwait Kuwait City</dc:title>
  <dc:creator/>
  <dc:language>en</dc:language>
  <cp:keywords/>
  <dcterms:created xsi:type="dcterms:W3CDTF">2026-10-10T02:02:36Z</dcterms:created>
  <dcterms:modified xsi:type="dcterms:W3CDTF">2026-10-10T02:02:36Z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