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Malaysia Kuala Lumpur | Federal Territory of Kuala Lumpur, 50088, Malaysia</w:t>
      </w:r>
    </w:p>
    <w:p>
      <w:pPr>
        <w:pStyle w:val="BodyText"/>
      </w:pPr>
      <w:r>
        <w:t xml:space="preserve">Document Reference: QE-BIZ-KL-2025-0047</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QE-BIZ-KL-2025-0047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Malaysian Ringgit (MYR / RM)</w:t>
      </w:r>
    </w:p>
    <w:p>
      <w:pPr>
        <w:pStyle w:val="BodyText"/>
      </w:pPr>
      <w:r>
        <w:rPr>
          <w:bCs/>
          <w:b/>
        </w:rPr>
        <w:t xml:space="preserve">Prepared By:</w:t>
      </w:r>
      <w:r>
        <w:t xml:space="preserve"> </w:t>
      </w:r>
      <w:r>
        <w:t xml:space="preserve">Strategic Advisory Group Sdn. Bhd.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 Sdn. Bhd.</w:t>
      </w:r>
    </w:p>
    <w:p>
      <w:pPr>
        <w:pStyle w:val="BodyText"/>
      </w:pPr>
      <w:r>
        <w:rPr>
          <w:bCs/>
          <w:b/>
        </w:rPr>
        <w:t xml:space="preserve">Address:</w:t>
      </w:r>
      <w:r>
        <w:t xml:space="preserve"> </w:t>
      </w:r>
      <w:r>
        <w:t xml:space="preserve">Level 12, Menara KL, Jalan Sultan Ismail, 50250 Malaysia Kuala Lumpur</w:t>
      </w:r>
    </w:p>
    <w:p>
      <w:pPr>
        <w:pStyle w:val="BodyText"/>
      </w:pPr>
      <w:r>
        <w:rPr>
          <w:bCs/>
          <w:b/>
        </w:rPr>
        <w:t xml:space="preserve">Attention:</w:t>
      </w:r>
      <w:r>
        <w:t xml:space="preserve"> </w:t>
      </w:r>
      <w:r>
        <w:t xml:space="preserve">[Client Contact Person]</w:t>
      </w:r>
    </w:p>
    <w:p>
      <w:pPr>
        <w:pStyle w:val="BodyText"/>
      </w:pPr>
      <w:r>
        <w:rPr>
          <w:bCs/>
          <w:b/>
        </w:rPr>
        <w:t xml:space="preserve">Email:</w:t>
      </w:r>
      <w:r>
        <w:t xml:space="preserve"> </w:t>
      </w:r>
      <w:r>
        <w:t xml:space="preserve">[client.email@company.com.my]</w:t>
      </w:r>
    </w:p>
    <w:p>
      <w:pPr>
        <w:pStyle w:val="BodyText"/>
      </w:pPr>
      <w:r>
        <w:rPr>
          <w:bCs/>
          <w:b/>
        </w:rPr>
        <w:t xml:space="preserve">Phone:</w:t>
      </w:r>
      <w:r>
        <w:t xml:space="preserve"> </w:t>
      </w:r>
      <w:r>
        <w:t xml:space="preserve">+60 3-XXXX XXXX</w:t>
      </w:r>
    </w:p>
    <w:bookmarkEnd w:id="22"/>
    <w:p>
      <w:pPr>
        <w:pStyle w:val="BodyText"/>
      </w:pPr>
      <w:r>
        <w:t xml:space="preserve">1. Scope of Business Consultant Engagement</w:t>
      </w:r>
    </w:p>
    <w:p>
      <w:pPr>
        <w:pStyle w:val="BodyText"/>
      </w:pPr>
      <w:r>
        <w:t xml:space="preserve">This</w:t>
      </w:r>
      <w:r>
        <w:t xml:space="preserve"> </w:t>
      </w:r>
      <w:r>
        <w:t xml:space="preserve">Quotation Estimate</w:t>
      </w:r>
      <w:r>
        <w:t xml:space="preserve"> </w:t>
      </w:r>
      <w:r>
        <w:t xml:space="preserve">is issued by Strategic Advisory Group Sdn. Bhd., a registered professional services firm operating in</w:t>
      </w:r>
      <w:r>
        <w:t xml:space="preserve"> </w:t>
      </w:r>
      <w:r>
        <w:t xml:space="preserve">Malaysia Kuala Lumpur</w:t>
      </w:r>
      <w:r>
        <w:t xml:space="preserve">, to provide comprehensive</w:t>
      </w:r>
      <w:r>
        <w:t xml:space="preserve"> </w:t>
      </w:r>
      <w:r>
        <w:t xml:space="preserve">Business Consultant</w:t>
      </w:r>
      <w:r>
        <w:t xml:space="preserve"> </w:t>
      </w:r>
      <w:r>
        <w:t xml:space="preserve">services to the above-named client. The engagement is designed to deliver strategic advisory, operational optimization, and organizational development support tailored to the client's specific business objectives within the competitive landscape of</w:t>
      </w:r>
      <w:r>
        <w:t xml:space="preserve"> </w:t>
      </w:r>
      <w:r>
        <w:t xml:space="preserve">Malaysia Kuala Lumpur</w:t>
      </w:r>
      <w:r>
        <w:t xml:space="preserve">.</w:t>
      </w:r>
    </w:p>
    <w:p>
      <w:pPr>
        <w:pStyle w:val="BodyText"/>
      </w:pPr>
      <w:r>
        <w:t xml:space="preserve">Our</w:t>
      </w:r>
      <w:r>
        <w:t xml:space="preserve"> </w:t>
      </w:r>
      <w:r>
        <w:t xml:space="preserve">Business Consultant</w:t>
      </w:r>
      <w:r>
        <w:t xml:space="preserve"> </w:t>
      </w:r>
      <w:r>
        <w:t xml:space="preserve">team, comprising senior professionals with over 15 years of combined experience in the Malaysian corporate sector, will conduct a thorough assessment of the client's current operations, market positioning, financial health, and growth potential. All deliverables under this</w:t>
      </w:r>
      <w:r>
        <w:t xml:space="preserve"> </w:t>
      </w:r>
      <w:r>
        <w:t xml:space="preserve">Quotation Estimate</w:t>
      </w:r>
      <w:r>
        <w:t xml:space="preserve"> </w:t>
      </w:r>
      <w:r>
        <w:t xml:space="preserve">will be aligned with the regulatory framework of the Companies Commission of Malaysia (SSM) and applicable Malaysian commercial laws.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Business Consultant Service 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Business Assessment &amp; Diagnostic Review in Malaysia Kuala Lumpur</w:t>
            </w:r>
          </w:p>
        </w:tc>
        <w:tc>
          <w:tcPr/>
          <w:p>
            <w:pPr>
              <w:pStyle w:val="Compact"/>
              <w:jc w:val="left"/>
            </w:pPr>
            <w:r>
              <w:t xml:space="preserve">2 weeks</w:t>
            </w:r>
          </w:p>
        </w:tc>
        <w:tc>
          <w:tcPr/>
          <w:p>
            <w:pPr>
              <w:pStyle w:val="Compact"/>
              <w:jc w:val="left"/>
            </w:pPr>
            <w:r>
              <w:t xml:space="preserve">RM 18,500</w:t>
            </w:r>
          </w:p>
        </w:tc>
        <w:tc>
          <w:tcPr/>
          <w:p>
            <w:pPr>
              <w:pStyle w:val="Compact"/>
              <w:jc w:val="left"/>
            </w:pPr>
            <w:r>
              <w:t xml:space="preserve">RM 18,500.00</w:t>
            </w:r>
          </w:p>
        </w:tc>
        <w:tc>
          <w:tcPr/>
          <w:p>
            <w:pPr>
              <w:pStyle w:val="Compact"/>
              <w:jc w:val="left"/>
            </w:pPr>
            <w:r>
              <w:t xml:space="preserve">On-site at client premises</w:t>
            </w:r>
          </w:p>
        </w:tc>
      </w:tr>
      <w:tr>
        <w:tc>
          <w:tcPr/>
          <w:p>
            <w:pPr>
              <w:pStyle w:val="Compact"/>
              <w:jc w:val="left"/>
            </w:pPr>
            <w:r>
              <w:t xml:space="preserve">2</w:t>
            </w:r>
          </w:p>
        </w:tc>
        <w:tc>
          <w:tcPr/>
          <w:p>
            <w:pPr>
              <w:pStyle w:val="Compact"/>
              <w:jc w:val="left"/>
            </w:pPr>
            <w:r>
              <w:t xml:space="preserve">Operational Process Optimization &amp; Workflow Redesign</w:t>
            </w:r>
          </w:p>
        </w:tc>
        <w:tc>
          <w:tcPr/>
          <w:p>
            <w:pPr>
              <w:pStyle w:val="Compact"/>
              <w:jc w:val="left"/>
            </w:pPr>
            <w:r>
              <w:t xml:space="preserve">4 weeks</w:t>
            </w:r>
          </w:p>
        </w:tc>
        <w:tc>
          <w:tcPr/>
          <w:p>
            <w:pPr>
              <w:pStyle w:val="Compact"/>
              <w:jc w:val="left"/>
            </w:pPr>
            <w:r>
              <w:t xml:space="preserve">RM 32,000</w:t>
            </w:r>
          </w:p>
        </w:tc>
        <w:tc>
          <w:tcPr/>
          <w:p>
            <w:pPr>
              <w:pStyle w:val="Compact"/>
              <w:jc w:val="left"/>
            </w:pPr>
            <w:r>
              <w:t xml:space="preserve">RM 32,000.00</w:t>
            </w:r>
          </w:p>
        </w:tc>
        <w:tc>
          <w:tcPr/>
          <w:p>
            <w:pPr>
              <w:pStyle w:val="Compact"/>
              <w:jc w:val="left"/>
            </w:pPr>
            <w:r>
              <w:t xml:space="preserve">Includes 3 interim reports</w:t>
            </w:r>
          </w:p>
        </w:tc>
      </w:tr>
      <w:tr>
        <w:tc>
          <w:tcPr/>
          <w:p>
            <w:pPr>
              <w:pStyle w:val="Compact"/>
              <w:jc w:val="left"/>
            </w:pPr>
            <w:r>
              <w:t xml:space="preserve">3</w:t>
            </w:r>
          </w:p>
        </w:tc>
        <w:tc>
          <w:tcPr/>
          <w:p>
            <w:pPr>
              <w:pStyle w:val="Compact"/>
              <w:jc w:val="left"/>
            </w:pPr>
            <w:r>
              <w:t xml:space="preserve">Market Analysis &amp; Competitive Intelligence (Kuala Lumpur Metro Region)</w:t>
            </w:r>
          </w:p>
        </w:tc>
        <w:tc>
          <w:tcPr/>
          <w:p>
            <w:pPr>
              <w:pStyle w:val="Compact"/>
              <w:jc w:val="left"/>
            </w:pPr>
            <w:r>
              <w:t xml:space="preserve">3 weeks</w:t>
            </w:r>
          </w:p>
        </w:tc>
        <w:tc>
          <w:tcPr/>
          <w:p>
            <w:pPr>
              <w:pStyle w:val="Compact"/>
              <w:jc w:val="left"/>
            </w:pPr>
            <w:r>
              <w:t xml:space="preserve">RM 24,750</w:t>
            </w:r>
          </w:p>
        </w:tc>
        <w:tc>
          <w:tcPr/>
          <w:p>
            <w:pPr>
              <w:pStyle w:val="Compact"/>
              <w:jc w:val="left"/>
            </w:pPr>
            <w:r>
              <w:t xml:space="preserve">RM 24,750.00</w:t>
            </w:r>
          </w:p>
        </w:tc>
        <w:tc>
          <w:tcPr/>
          <w:p>
            <w:pPr>
              <w:pStyle w:val="Compact"/>
              <w:jc w:val="left"/>
            </w:pPr>
            <w:r>
              <w:t xml:space="preserve">Industry benchmarking included</w:t>
            </w:r>
          </w:p>
        </w:tc>
      </w:tr>
      <w:tr>
        <w:tc>
          <w:tcPr/>
          <w:p>
            <w:pPr>
              <w:pStyle w:val="Compact"/>
              <w:jc w:val="left"/>
            </w:pPr>
            <w:r>
              <w:t xml:space="preserve">4</w:t>
            </w:r>
          </w:p>
        </w:tc>
        <w:tc>
          <w:tcPr/>
          <w:p>
            <w:pPr>
              <w:pStyle w:val="Compact"/>
              <w:jc w:val="left"/>
            </w:pPr>
            <w:r>
              <w:t xml:space="preserve">Financial Restructuring Advisory &amp; Cash Flow Management Plan</w:t>
            </w:r>
          </w:p>
        </w:tc>
        <w:tc>
          <w:tcPr/>
          <w:p>
            <w:pPr>
              <w:pStyle w:val="Compact"/>
              <w:jc w:val="left"/>
            </w:pPr>
            <w:r>
              <w:t xml:space="preserve">3 weeks</w:t>
            </w:r>
          </w:p>
        </w:tc>
        <w:tc>
          <w:tcPr/>
          <w:p>
            <w:pPr>
              <w:pStyle w:val="Compact"/>
              <w:jc w:val="left"/>
            </w:pPr>
            <w:r>
              <w:t xml:space="preserve">RM 28,000</w:t>
            </w:r>
          </w:p>
        </w:tc>
        <w:tc>
          <w:tcPr/>
          <w:p>
            <w:pPr>
              <w:pStyle w:val="Compact"/>
              <w:jc w:val="left"/>
            </w:pPr>
            <w:r>
              <w:t xml:space="preserve">RM 28,000.00</w:t>
            </w:r>
          </w:p>
        </w:tc>
        <w:tc>
          <w:tcPr/>
          <w:p>
            <w:pPr>
              <w:pStyle w:val="Compact"/>
              <w:jc w:val="left"/>
            </w:pPr>
            <w:r>
              <w:t xml:space="preserve">Coordination with client's auditors</w:t>
            </w:r>
          </w:p>
        </w:tc>
      </w:tr>
      <w:tr>
        <w:tc>
          <w:tcPr/>
          <w:p>
            <w:pPr>
              <w:pStyle w:val="Compact"/>
              <w:jc w:val="left"/>
            </w:pPr>
            <w:r>
              <w:t xml:space="preserve">5</w:t>
            </w:r>
          </w:p>
        </w:tc>
        <w:tc>
          <w:tcPr/>
          <w:p>
            <w:pPr>
              <w:pStyle w:val="Compact"/>
              <w:jc w:val="left"/>
            </w:pPr>
            <w:r>
              <w:t xml:space="preserve">Organizational Development &amp; Leadership Training Programme</w:t>
            </w:r>
          </w:p>
        </w:tc>
        <w:tc>
          <w:tcPr/>
          <w:p>
            <w:pPr>
              <w:pStyle w:val="Compact"/>
              <w:jc w:val="left"/>
            </w:pPr>
            <w:r>
              <w:t xml:space="preserve">2 weeks</w:t>
            </w:r>
          </w:p>
        </w:tc>
        <w:tc>
          <w:tcPr/>
          <w:p>
            <w:pPr>
              <w:pStyle w:val="Compact"/>
              <w:jc w:val="left"/>
            </w:pPr>
            <w:r>
              <w:t xml:space="preserve">RM 15,500</w:t>
            </w:r>
          </w:p>
        </w:tc>
        <w:tc>
          <w:tcPr/>
          <w:p>
            <w:pPr>
              <w:pStyle w:val="Compact"/>
              <w:jc w:val="left"/>
            </w:pPr>
            <w:r>
              <w:t xml:space="preserve">RM 15,500.00</w:t>
            </w:r>
          </w:p>
        </w:tc>
        <w:tc>
          <w:tcPr/>
          <w:p>
            <w:pPr>
              <w:pStyle w:val="Compact"/>
              <w:jc w:val="left"/>
            </w:pPr>
            <w:r>
              <w:t xml:space="preserve">Up to 25 participants</w:t>
            </w:r>
          </w:p>
        </w:tc>
      </w:tr>
      <w:tr>
        <w:tc>
          <w:tcPr/>
          <w:p>
            <w:pPr>
              <w:pStyle w:val="Compact"/>
              <w:jc w:val="left"/>
            </w:pPr>
            <w:r>
              <w:t xml:space="preserve">6</w:t>
            </w:r>
          </w:p>
        </w:tc>
        <w:tc>
          <w:tcPr/>
          <w:p>
            <w:pPr>
              <w:pStyle w:val="Compact"/>
              <w:jc w:val="left"/>
            </w:pPr>
            <w:r>
              <w:t xml:space="preserve">Digital Transformation Roadmap &amp; Technology Advisory</w:t>
            </w:r>
          </w:p>
        </w:tc>
        <w:tc>
          <w:tcPr/>
          <w:p>
            <w:pPr>
              <w:pStyle w:val="Compact"/>
              <w:jc w:val="left"/>
            </w:pPr>
            <w:r>
              <w:t xml:space="preserve">3 weeks</w:t>
            </w:r>
          </w:p>
        </w:tc>
        <w:tc>
          <w:tcPr/>
          <w:p>
            <w:pPr>
              <w:pStyle w:val="Compact"/>
              <w:jc w:val="left"/>
            </w:pPr>
            <w:r>
              <w:t xml:space="preserve">RM 22,250</w:t>
            </w:r>
          </w:p>
        </w:tc>
        <w:tc>
          <w:tcPr/>
          <w:p>
            <w:pPr>
              <w:pStyle w:val="Compact"/>
              <w:jc w:val="left"/>
            </w:pPr>
            <w:r>
              <w:t xml:space="preserve">RM 22,250.00</w:t>
            </w:r>
          </w:p>
        </w:tc>
        <w:tc>
          <w:tcPr/>
          <w:p>
            <w:pPr>
              <w:pStyle w:val="Compact"/>
              <w:jc w:val="left"/>
            </w:pPr>
            <w:r>
              <w:t xml:space="preserve">Vendor-neutral assessment</w:t>
            </w:r>
          </w:p>
        </w:tc>
      </w:tr>
      <w:tr>
        <w:tc>
          <w:tcPr/>
          <w:p>
            <w:pPr>
              <w:pStyle w:val="Compact"/>
              <w:jc w:val="left"/>
            </w:pPr>
            <w:r>
              <w:t xml:space="preserve">7</w:t>
            </w:r>
          </w:p>
        </w:tc>
        <w:tc>
          <w:tcPr/>
          <w:p>
            <w:pPr>
              <w:pStyle w:val="Compact"/>
              <w:jc w:val="left"/>
            </w:pPr>
            <w:r>
              <w:t xml:space="preserve">Regulatory Compliance Review (SSM, LHDN, DOSH – Malaysia Kuala Lumpur)</w:t>
            </w:r>
          </w:p>
        </w:tc>
        <w:tc>
          <w:tcPr/>
          <w:p>
            <w:pPr>
              <w:pStyle w:val="Compact"/>
              <w:jc w:val="left"/>
            </w:pPr>
            <w:r>
              <w:t xml:space="preserve">1 week</w:t>
            </w:r>
          </w:p>
        </w:tc>
        <w:tc>
          <w:tcPr/>
          <w:p>
            <w:pPr>
              <w:pStyle w:val="Compact"/>
              <w:jc w:val="left"/>
            </w:pPr>
            <w:r>
              <w:t xml:space="preserve">RM 9,800</w:t>
            </w:r>
          </w:p>
        </w:tc>
        <w:tc>
          <w:tcPr/>
          <w:p>
            <w:pPr>
              <w:pStyle w:val="Compact"/>
              <w:jc w:val="left"/>
            </w:pPr>
            <w:r>
              <w:t xml:space="preserve">RM 9,800.00</w:t>
            </w:r>
          </w:p>
        </w:tc>
        <w:tc>
          <w:tcPr/>
          <w:p>
            <w:pPr>
              <w:pStyle w:val="Compact"/>
              <w:jc w:val="left"/>
            </w:pPr>
            <w:r>
              <w:t xml:space="preserve">Includes compliance gap report</w:t>
            </w:r>
          </w:p>
        </w:tc>
      </w:tr>
      <w:tr>
        <w:tc>
          <w:tcPr/>
          <w:p>
            <w:pPr>
              <w:pStyle w:val="Compact"/>
              <w:jc w:val="left"/>
            </w:pPr>
            <w:r>
              <w:t xml:space="preserve">8</w:t>
            </w:r>
          </w:p>
        </w:tc>
        <w:tc>
          <w:tcPr/>
          <w:p>
            <w:pPr>
              <w:pStyle w:val="Compact"/>
              <w:jc w:val="left"/>
            </w:pPr>
            <w:r>
              <w:t xml:space="preserve">Final Consolidated Report, Executive Presentation &amp; 90-Day Follow-Up</w:t>
            </w:r>
          </w:p>
        </w:tc>
        <w:tc>
          <w:tcPr/>
          <w:p>
            <w:pPr>
              <w:pStyle w:val="Compact"/>
              <w:jc w:val="left"/>
            </w:pPr>
            <w:r>
              <w:t xml:space="preserve">2 weeks</w:t>
            </w:r>
          </w:p>
        </w:tc>
        <w:tc>
          <w:tcPr/>
          <w:p>
            <w:pPr>
              <w:pStyle w:val="Compact"/>
              <w:jc w:val="left"/>
            </w:pPr>
            <w:r>
              <w:t xml:space="preserve">RM 14,200</w:t>
            </w:r>
          </w:p>
        </w:tc>
        <w:tc>
          <w:tcPr/>
          <w:p>
            <w:pPr>
              <w:pStyle w:val="Compact"/>
              <w:jc w:val="left"/>
            </w:pPr>
            <w:r>
              <w:t xml:space="preserve">RM 14,200.00</w:t>
            </w:r>
          </w:p>
        </w:tc>
        <w:tc>
          <w:tcPr/>
          <w:p>
            <w:pPr>
              <w:pStyle w:val="Compact"/>
              <w:jc w:val="left"/>
            </w:pPr>
            <w:r>
              <w:t xml:space="preserve">Board-level presentation included</w:t>
            </w:r>
          </w:p>
        </w:tc>
      </w:tr>
      <w:tr>
        <w:tc>
          <w:tcPr>
            <w:gridSpan w:val="4"/>
          </w:tcPr>
          <w:p>
            <w:pPr>
              <w:pStyle w:val="Compact"/>
              <w:jc w:val="left"/>
            </w:pPr>
            <w:r>
              <w:t xml:space="preserve">Subtotal (All Business Consultant Services)</w:t>
            </w:r>
          </w:p>
        </w:tc>
        <w:tc>
          <w:tcPr/>
          <w:p>
            <w:pPr>
              <w:pStyle w:val="Compact"/>
              <w:jc w:val="left"/>
            </w:pPr>
            <w:r>
              <w:t xml:space="preserve">RM 165,000.00</w:t>
            </w:r>
          </w:p>
        </w:tc>
        <w:tc>
          <w:tcPr/>
          <w:p>
            <w:pPr>
              <w:pStyle w:val="Compact"/>
            </w:pPr>
          </w:p>
        </w:tc>
      </w:tr>
      <w:tr>
        <w:tc>
          <w:tcPr>
            <w:gridSpan w:val="4"/>
          </w:tcPr>
          <w:p>
            <w:pPr>
              <w:pStyle w:val="Compact"/>
              <w:jc w:val="left"/>
            </w:pPr>
            <w:r>
              <w:t xml:space="preserve">Sales &amp; Service Tax (SST) @ 6%</w:t>
            </w:r>
          </w:p>
        </w:tc>
        <w:tc>
          <w:tcPr/>
          <w:p>
            <w:pPr>
              <w:pStyle w:val="Compact"/>
              <w:jc w:val="left"/>
            </w:pPr>
            <w:r>
              <w:t xml:space="preserve">RM 9,900.00</w:t>
            </w:r>
          </w:p>
        </w:tc>
        <w:tc>
          <w:tcPr/>
          <w:p>
            <w:pPr>
              <w:pStyle w:val="Compact"/>
              <w:jc w:val="left"/>
            </w:pPr>
            <w:r>
              <w:t xml:space="preserve">As per Malaysian tax regulations</w:t>
            </w:r>
          </w:p>
        </w:tc>
      </w:tr>
      <w:tr>
        <w:tc>
          <w:tcPr>
            <w:gridSpan w:val="4"/>
          </w:tcPr>
          <w:p>
            <w:pPr>
              <w:pStyle w:val="Compact"/>
              <w:jc w:val="left"/>
            </w:pPr>
            <w:r>
              <w:t xml:space="preserve">TOTAL AMOUNT DUE (Quotation Estimate)</w:t>
            </w:r>
          </w:p>
        </w:tc>
        <w:tc>
          <w:tcPr/>
          <w:p>
            <w:pPr>
              <w:pStyle w:val="Compact"/>
              <w:jc w:val="left"/>
            </w:pPr>
            <w:r>
              <w:t xml:space="preserve">RM 174,900.00</w:t>
            </w:r>
          </w:p>
        </w:tc>
        <w:tc>
          <w:tcPr/>
          <w:p>
            <w:pPr>
              <w:pStyle w:val="Compact"/>
              <w:jc w:val="left"/>
            </w:pPr>
            <w:r>
              <w:t xml:space="preserve">MYR</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Business Consultant</w:t>
      </w:r>
      <w:r>
        <w:t xml:space="preserve"> </w:t>
      </w:r>
      <w:r>
        <w:t xml:space="preserve">fees and rates stated herein are subject to revision based on prevailing market conditions in</w:t>
      </w:r>
      <w:r>
        <w:t xml:space="preserve"> </w:t>
      </w:r>
      <w:r>
        <w:t xml:space="preserve">Malaysia Kuala Lumpur</w:t>
      </w:r>
      <w:r>
        <w:t xml:space="preserve">.</w:t>
      </w:r>
    </w:p>
    <w:p>
      <w:pPr>
        <w:pStyle w:val="BodyText"/>
      </w:pPr>
      <w:r>
        <w:rPr>
          <w:bCs/>
          <w:b/>
        </w:rPr>
        <w:t xml:space="preserve">3.2 Payment Terms:</w:t>
      </w:r>
      <w:r>
        <w:t xml:space="preserve"> </w:t>
      </w:r>
      <w:r>
        <w:t xml:space="preserve">Payment shall be made in three (3) instalments: 40% upon acceptance of this</w:t>
      </w:r>
      <w:r>
        <w:t xml:space="preserve"> </w:t>
      </w:r>
      <w:r>
        <w:t xml:space="preserve">Quotation Estimate</w:t>
      </w:r>
      <w:r>
        <w:t xml:space="preserve">, 40% upon completion of the mid-project milestone (end of Week 8), and 20% upon delivery of the final consolidated report. All payments are to be made via bank transfer to the account of Strategic Advisory Group Sdn. Bhd., Bank Islam Malaysia Berhad, Account No. 0123-4567-8900.</w:t>
      </w:r>
    </w:p>
    <w:p>
      <w:pPr>
        <w:pStyle w:val="BodyText"/>
      </w:pPr>
      <w:r>
        <w:rPr>
          <w:bCs/>
          <w:b/>
        </w:rPr>
        <w:t xml:space="preserve">3.3 Commencement:</w:t>
      </w:r>
      <w:r>
        <w:t xml:space="preserve"> </w:t>
      </w:r>
      <w:r>
        <w:t xml:space="preserve">The</w:t>
      </w:r>
      <w:r>
        <w:t xml:space="preserve"> </w:t>
      </w:r>
      <w:r>
        <w:t xml:space="preserve">Business Consultant</w:t>
      </w:r>
      <w:r>
        <w:t xml:space="preserve"> </w:t>
      </w:r>
      <w:r>
        <w:t xml:space="preserve">engagement shall commence within five (5) business days of receipt of the initial payment and written confirmation from the client. The project timeline assumes full cooperation and timely access to all relevant documents, personnel, and facilities at the client's premises in</w:t>
      </w:r>
      <w:r>
        <w:t xml:space="preserve"> </w:t>
      </w:r>
      <w:r>
        <w:t xml:space="preserve">Malaysia Kuala Lumpur</w:t>
      </w:r>
      <w:r>
        <w:t xml:space="preserve">.</w:t>
      </w:r>
    </w:p>
    <w:p>
      <w:pPr>
        <w:pStyle w:val="BodyText"/>
      </w:pPr>
      <w:r>
        <w:rPr>
          <w:bCs/>
          <w:b/>
        </w:rPr>
        <w:t xml:space="preserve">3.4 Confidentiality:</w:t>
      </w:r>
      <w:r>
        <w:t xml:space="preserve"> </w:t>
      </w:r>
      <w:r>
        <w:t xml:space="preserve">All information, data, and materials shared during the course of this</w:t>
      </w:r>
      <w:r>
        <w:t xml:space="preserve"> </w:t>
      </w:r>
      <w:r>
        <w:t xml:space="preserve">Business Consultant</w:t>
      </w:r>
      <w:r>
        <w:t xml:space="preserve"> </w:t>
      </w:r>
      <w:r>
        <w:t xml:space="preserve">engagement shall be treated as strictly confidential. A separate Non-Disclosure Agreement (NDA) shall be executed prior to the commencement of work, in compliance with the Personal Data Protection Act 2010 (PDPA) of Malaysia.</w:t>
      </w:r>
    </w:p>
    <w:p>
      <w:pPr>
        <w:pStyle w:val="BodyText"/>
      </w:pPr>
      <w:r>
        <w:rPr>
          <w:bCs/>
          <w:b/>
        </w:rPr>
        <w:t xml:space="preserve">3.5 Intellectual Property:</w:t>
      </w:r>
      <w:r>
        <w:t xml:space="preserve"> </w:t>
      </w:r>
      <w:r>
        <w:t xml:space="preserve">All reports, frameworks, methodologies, and deliverables produced under this</w:t>
      </w:r>
      <w:r>
        <w:t xml:space="preserve"> </w:t>
      </w:r>
      <w:r>
        <w:t xml:space="preserve">Quotation Estimate</w:t>
      </w:r>
      <w:r>
        <w:t xml:space="preserve"> </w:t>
      </w:r>
      <w:r>
        <w:t xml:space="preserve">shall become the sole property of the client upon full and final payment. The</w:t>
      </w:r>
      <w:r>
        <w:t xml:space="preserve"> </w:t>
      </w:r>
      <w:r>
        <w:t xml:space="preserve">Business Consultant</w:t>
      </w:r>
      <w:r>
        <w:t xml:space="preserve"> </w:t>
      </w:r>
      <w:r>
        <w:t xml:space="preserve">firm retains the right to use anonymized, aggregated findings for internal research purposes only.</w:t>
      </w:r>
    </w:p>
    <w:p>
      <w:pPr>
        <w:pStyle w:val="BodyText"/>
      </w:pPr>
      <w:r>
        <w:rPr>
          <w:bCs/>
          <w:b/>
        </w:rPr>
        <w:t xml:space="preserve">3.6 Limitation of Liability:</w:t>
      </w:r>
      <w:r>
        <w:t xml:space="preserve"> </w:t>
      </w:r>
      <w:r>
        <w:t xml:space="preserve">The total liability of Strategic Advisory Group Sdn. Bhd. under this</w:t>
      </w:r>
      <w:r>
        <w:t xml:space="preserve"> </w:t>
      </w:r>
      <w:r>
        <w:t xml:space="preserve">Quotation Estimate</w:t>
      </w:r>
      <w:r>
        <w:t xml:space="preserve"> </w:t>
      </w:r>
      <w:r>
        <w:t xml:space="preserve">shall not exceed the total fees paid by the client. The</w:t>
      </w:r>
      <w:r>
        <w:t xml:space="preserve"> </w:t>
      </w:r>
      <w:r>
        <w:t xml:space="preserve">Business Consultant</w:t>
      </w:r>
      <w:r>
        <w:t xml:space="preserve"> </w:t>
      </w:r>
      <w:r>
        <w:t xml:space="preserve">services are advisory in nature, and the client retains full decision-making authority over all strategic and operational matters.</w:t>
      </w:r>
    </w:p>
    <w:p>
      <w:pPr>
        <w:pStyle w:val="BodyText"/>
      </w:pPr>
      <w:r>
        <w:rPr>
          <w:bCs/>
          <w:b/>
        </w:rPr>
        <w:t xml:space="preserve">3.7 Governing Law:</w:t>
      </w:r>
      <w:r>
        <w:t xml:space="preserve"> </w:t>
      </w:r>
      <w:r>
        <w:t xml:space="preserve">This</w:t>
      </w:r>
      <w:r>
        <w:t xml:space="preserve"> </w:t>
      </w:r>
      <w:r>
        <w:t xml:space="preserve">Quotation Estimate</w:t>
      </w:r>
      <w:r>
        <w:t xml:space="preserve"> </w:t>
      </w:r>
      <w:r>
        <w:t xml:space="preserve">and any disputes arising therefrom shall be governed by and construed in accordance with the laws of Malaysia. Any disputes shall be resolved through the courts of</w:t>
      </w:r>
      <w:r>
        <w:t xml:space="preserve"> </w:t>
      </w:r>
      <w:r>
        <w:t xml:space="preserve">Malaysia Kuala Lumpur</w:t>
      </w:r>
      <w:r>
        <w:t xml:space="preserve"> </w:t>
      </w:r>
      <w:r>
        <w:t xml:space="preserve">or through arbitration at the Asian International Arbitration Centre (AIAC) in Kuala Lumpur, as mutually agreed by both parties.</w:t>
      </w:r>
    </w:p>
    <w:p>
      <w:pPr>
        <w:pStyle w:val="BodyText"/>
      </w:pPr>
      <w:r>
        <w:rPr>
          <w:bCs/>
          <w:b/>
        </w:rPr>
        <w:t xml:space="preserve">3.8 Cancellation:</w:t>
      </w:r>
      <w:r>
        <w:t xml:space="preserve"> </w:t>
      </w:r>
      <w:r>
        <w:t xml:space="preserve">Either party may terminate this engagement with fourteen (14) days' written notice. In the event of early termination by the client, all fees for work completed up to the date of termination, plus a 10% administrative fee, shall be payable. The</w:t>
      </w:r>
      <w:r>
        <w:t xml:space="preserve"> </w:t>
      </w:r>
      <w:r>
        <w:t xml:space="preserve">Business Consultant</w:t>
      </w:r>
      <w:r>
        <w:t xml:space="preserve"> </w:t>
      </w:r>
      <w:r>
        <w:t xml:space="preserve">firm reserves the right to withdraw from this</w:t>
      </w:r>
      <w:r>
        <w:t xml:space="preserve"> </w:t>
      </w:r>
      <w:r>
        <w:t xml:space="preserve">Quotation Estimate</w:t>
      </w:r>
      <w:r>
        <w:t xml:space="preserve"> </w:t>
      </w:r>
      <w:r>
        <w:t xml:space="preserve">if the client fails to make payments within the stipulated timelines.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third-party software licensing, travel expenses beyond the Kuala Lumpur metropolitan area, or any additional</w:t>
      </w:r>
      <w:r>
        <w:t xml:space="preserve"> </w:t>
      </w:r>
      <w:r>
        <w:t xml:space="preserve">Business Consultant</w:t>
      </w:r>
      <w:r>
        <w:t xml:space="preserve"> </w:t>
      </w:r>
      <w:r>
        <w:t xml:space="preserve">services that may be requested outside the scope defined herein. Any such additional services will be subject to a separate written amendment to this</w:t>
      </w:r>
      <w:r>
        <w:t xml:space="preserve"> </w:t>
      </w:r>
      <w:r>
        <w:t xml:space="preserve">Quotation Estimate</w:t>
      </w:r>
      <w:r>
        <w:t xml:space="preserve"> </w:t>
      </w:r>
      <w:r>
        <w:t xml:space="preserve">and mutual agreement on revised fees. All rates are quoted in Malaysian Ringgit (MYR) and are inclusive of the</w:t>
      </w:r>
      <w:r>
        <w:t xml:space="preserve"> </w:t>
      </w:r>
      <w:r>
        <w:t xml:space="preserve">Business Consultant</w:t>
      </w:r>
      <w:r>
        <w:t xml:space="preserve"> </w:t>
      </w:r>
      <w:r>
        <w:t xml:space="preserve">team's professional time, travel within</w:t>
      </w:r>
      <w:r>
        <w:t xml:space="preserve"> </w:t>
      </w:r>
      <w:r>
        <w:t xml:space="preserve">Malaysia Kuala Lumpur</w:t>
      </w:r>
      <w:r>
        <w:t xml:space="preserve">, and standard reporting deliverables.</w:t>
      </w:r>
    </w:p>
    <w:p>
      <w:pPr>
        <w:pStyle w:val="BodyText"/>
      </w:pPr>
      <w:r>
        <w:t xml:space="preserve">4. Acceptance and Authorization</w:t>
      </w:r>
    </w:p>
    <w:p>
      <w:pPr>
        <w:pStyle w:val="BodyText"/>
      </w:pPr>
      <w:r>
        <w:t xml:space="preserve">By signing below, the client acknowledges and accepts all terms, conditions, and fee structures outlined in this</w:t>
      </w:r>
      <w:r>
        <w:t xml:space="preserve"> </w:t>
      </w:r>
      <w:r>
        <w:t xml:space="preserve">Quotation Estimate</w:t>
      </w:r>
      <w:r>
        <w:t xml:space="preserve"> </w:t>
      </w:r>
      <w:r>
        <w:t xml:space="preserve">for the engagement of the</w:t>
      </w:r>
      <w:r>
        <w:t xml:space="preserve"> </w:t>
      </w:r>
      <w:r>
        <w:t xml:space="preserve">Business Consultant</w:t>
      </w:r>
      <w:r>
        <w:t xml:space="preserve"> </w:t>
      </w:r>
      <w:r>
        <w:t xml:space="preserve">services described herein. This acceptance constitutes a binding agreement between the parties under the laws of Malaysia.</w:t>
      </w:r>
    </w:p>
    <w:p>
      <w:pPr>
        <w:pStyle w:val="BodyText"/>
      </w:pPr>
      <w:r>
        <w:rPr>
          <w:bCs/>
          <w:b/>
        </w:rPr>
        <w:t xml:space="preserve">For and on behalf of:</w:t>
      </w:r>
      <w:r>
        <w:br/>
      </w:r>
      <w:r>
        <w:t xml:space="preserve">Strategic Advisory Group Sdn. Bhd.</w:t>
      </w:r>
      <w:r>
        <w:br/>
      </w:r>
      <w:r>
        <w:br/>
      </w:r>
      <w:r>
        <w:t xml:space="preserve">_________________________________</w:t>
      </w:r>
      <w:r>
        <w:br/>
      </w:r>
      <w:r>
        <w:t xml:space="preserve">Name: [Consultant Name]</w:t>
      </w:r>
      <w:r>
        <w:br/>
      </w:r>
      <w:r>
        <w:t xml:space="preserve">Designation: Lead Business Consultant</w:t>
      </w:r>
      <w:r>
        <w:br/>
      </w:r>
      <w:r>
        <w:t xml:space="preserve">Date: _______________</w:t>
      </w:r>
    </w:p>
    <w:p>
      <w:pPr>
        <w:pStyle w:val="BodyText"/>
      </w:pPr>
      <w:r>
        <w:rPr>
          <w:bCs/>
          <w:b/>
        </w:rPr>
        <w:t xml:space="preserve">For and on behalf of:</w:t>
      </w:r>
      <w:r>
        <w:br/>
      </w:r>
      <w:r>
        <w:t xml:space="preserve">[Client Company Name] Sdn. Bhd.</w:t>
      </w:r>
      <w:r>
        <w:br/>
      </w:r>
      <w:r>
        <w:br/>
      </w:r>
      <w:r>
        <w:t xml:space="preserve">_________________________________</w:t>
      </w:r>
      <w:r>
        <w:br/>
      </w:r>
      <w:r>
        <w:t xml:space="preserve">Name: [Client Contact Person]</w:t>
      </w:r>
      <w:r>
        <w:br/>
      </w:r>
      <w:r>
        <w:t xml:space="preserve">Designation: [Title / Position]</w:t>
      </w:r>
      <w:r>
        <w:br/>
      </w:r>
      <w:r>
        <w:t xml:space="preserve">Date: _______________</w:t>
      </w:r>
    </w:p>
    <w:p>
      <w:pPr>
        <w:pStyle w:val="BodyText"/>
      </w:pPr>
      <w:r>
        <w:t xml:space="preserve">Strategic Advisory Group Sdn. Bhd. | Registered in Malaysia (Company No. 201901012345(K))</w:t>
      </w:r>
    </w:p>
    <w:p>
      <w:pPr>
        <w:pStyle w:val="BodyText"/>
      </w:pPr>
      <w:r>
        <w:t xml:space="preserve">Office: Suite 1801, Level 18, The Exchange TRX, Persiaran TRX 2, 55188 Malaysia Kuala Lumpur</w:t>
      </w:r>
    </w:p>
    <w:p>
      <w:pPr>
        <w:pStyle w:val="BodyText"/>
      </w:pPr>
      <w:r>
        <w:t xml:space="preserve">Tel: +60 3-2181 0000 | Email: enquiries@sag-advisory.com.my | Web: www.sag-advisory.com.my</w:t>
      </w:r>
    </w:p>
    <w:p>
      <w:pPr>
        <w:pStyle w:val="BodyText"/>
      </w:pPr>
      <w:r>
        <w:t xml:space="preserve">This Quotation Estimate is a confidential document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Malaysia Kuala Lumpur</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