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Prepared for the Mexico Mexico City Market</w:t>
      </w:r>
    </w:p>
    <w:p>
      <w:pPr>
        <w:pStyle w:val="BodyText"/>
      </w:pPr>
      <w:r>
        <w:t xml:space="preserve">Document Reference: QTE-MX-2025-0472 | Currency: Mexican Peso (MXN)</w:t>
      </w:r>
    </w:p>
    <w:bookmarkEnd w:id="20"/>
    <w:p>
      <w:pPr>
        <w:pStyle w:val="BodyText"/>
      </w:pPr>
      <w:r>
        <w:rPr>
          <w:bCs/>
          <w:b/>
        </w:rPr>
        <w:t xml:space="preserve">Quotation Estimate No.:</w:t>
      </w:r>
      <w:r>
        <w:t xml:space="preserve"> </w:t>
      </w:r>
      <w:r>
        <w:t xml:space="preserve">QTE-MX-2025-0472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Estrategia Corporativa MX, S.A. de C.V.</w:t>
      </w:r>
      <w:r>
        <w:br/>
      </w:r>
      <w:r>
        <w:rPr>
          <w:bCs/>
          <w:b/>
        </w:rPr>
        <w:t xml:space="preserve">Address:</w:t>
      </w:r>
      <w:r>
        <w:t xml:space="preserve"> </w:t>
      </w:r>
      <w:r>
        <w:t xml:space="preserve">Av. Paseo de la Reforma 505, Piso 12, Col. Cuauhtémoc, Mexico Mexico City, C.P. 06500</w:t>
      </w:r>
      <w:r>
        <w:br/>
      </w:r>
      <w:r>
        <w:rPr>
          <w:bCs/>
          <w:b/>
        </w:rPr>
        <w:t xml:space="preserve">Contact:</w:t>
      </w:r>
      <w:r>
        <w:t xml:space="preserve"> </w:t>
      </w:r>
      <w:r>
        <w:t xml:space="preserve">+52 (55) 5512-3456 | contacto@estrategiacorp.mx</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[Street, Colony, Mexico Mexico City, C.P.]</w:t>
      </w:r>
      <w:r>
        <w:br/>
      </w:r>
      <w:r>
        <w:rPr>
          <w:bCs/>
          <w:b/>
        </w:rPr>
        <w:t xml:space="preserve">Client Contact:</w:t>
      </w:r>
      <w:r>
        <w:t xml:space="preserve"> </w:t>
      </w:r>
      <w:r>
        <w:t xml:space="preserve">[Name, Phone, Email]</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Estrategia Corporativa MX, S.A. de C.V. to provide a comprehensive and transparent breakdown of professional fees for Business Consultant services to be rendered in Mexico Mexico City. This document outlines the full scope of advisory engagements, deliverables, timelines, and associated costs for the requested consulting project. The Business Consultant engagement described herein is specifically tailored to the regulatory, economic, and competitive environment of Mexico Mexico City, ensuring that all recommendations and strategic interventions are locally relevant and compliant with applicable Mexican federal and local commercial regulations.</w:t>
      </w:r>
    </w:p>
    <w:p>
      <w:pPr>
        <w:pStyle w:val="BodyText"/>
      </w:pPr>
      <w:r>
        <w:t xml:space="preserve">The Business Consultant will operate primarily from the offices located in the Cuauhtémoc district of Mexico Mexico City, with the possibility of on-site visits to the client's premises within the Mexico Mexico City metropolitan area. All services are subject to the terms and conditions specified in this Quotation Estimate and the subsequent service agreement.</w:t>
      </w:r>
    </w:p>
    <w:bookmarkEnd w:id="21"/>
    <w:bookmarkStart w:id="22" w:name="scope-of-business-consultant-services"/>
    <w:p>
      <w:pPr>
        <w:pStyle w:val="Heading2"/>
      </w:pPr>
      <w:r>
        <w:t xml:space="preserve">2. Scope of Business Consultant Services</w:t>
      </w:r>
    </w:p>
    <w:p>
      <w:pPr>
        <w:pStyle w:val="FirstParagraph"/>
      </w:pPr>
      <w:r>
        <w:t xml:space="preserve">The Business Consultant engagement encompasses the following core service areas, all designed to address the specific operational and strategic needs of the client within the Mexico Mexico City business landscape: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Fee (MXN)</w:t>
            </w:r>
          </w:p>
        </w:tc>
        <w:tc>
          <w:tcPr/>
          <w:p>
            <w:pPr>
              <w:pStyle w:val="Compact"/>
              <w:jc w:val="left"/>
            </w:pPr>
            <w:r>
              <w:t xml:space="preserve">Tax (16% IVA)</w:t>
            </w:r>
          </w:p>
        </w:tc>
      </w:tr>
      <w:tr>
        <w:tc>
          <w:tcPr/>
          <w:p>
            <w:pPr>
              <w:pStyle w:val="Compact"/>
              <w:jc w:val="left"/>
            </w:pPr>
            <w:r>
              <w:t xml:space="preserve">01</w:t>
            </w:r>
          </w:p>
        </w:tc>
        <w:tc>
          <w:tcPr/>
          <w:p>
            <w:pPr>
              <w:pStyle w:val="Compact"/>
              <w:jc w:val="left"/>
            </w:pPr>
            <w:r>
              <w:t xml:space="preserve">Strategic Business Planning &amp; Organizational Assessment in Mexico Mexico City</w:t>
            </w:r>
          </w:p>
        </w:tc>
        <w:tc>
          <w:tcPr/>
          <w:p>
            <w:pPr>
              <w:pStyle w:val="Compact"/>
              <w:jc w:val="left"/>
            </w:pPr>
            <w:r>
              <w:t xml:space="preserve">Comprehensive Strategy Report</w:t>
            </w:r>
          </w:p>
        </w:tc>
        <w:tc>
          <w:tcPr/>
          <w:p>
            <w:pPr>
              <w:pStyle w:val="Compact"/>
              <w:jc w:val="left"/>
            </w:pPr>
            <w:r>
              <w:t xml:space="preserve">4 weeks</w:t>
            </w:r>
          </w:p>
        </w:tc>
        <w:tc>
          <w:tcPr/>
          <w:p>
            <w:pPr>
              <w:pStyle w:val="Compact"/>
              <w:jc w:val="left"/>
            </w:pPr>
            <w:r>
              <w:t xml:space="preserve">$185,000.00</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Operational Process Optimization &amp; Workflow Redesign</w:t>
            </w:r>
          </w:p>
        </w:tc>
        <w:tc>
          <w:tcPr/>
          <w:p>
            <w:pPr>
              <w:pStyle w:val="Compact"/>
              <w:jc w:val="left"/>
            </w:pPr>
            <w:r>
              <w:t xml:space="preserve">Process Maps &amp; Implementation Guide</w:t>
            </w:r>
          </w:p>
        </w:tc>
        <w:tc>
          <w:tcPr/>
          <w:p>
            <w:pPr>
              <w:pStyle w:val="Compact"/>
              <w:jc w:val="left"/>
            </w:pPr>
            <w:r>
              <w:t xml:space="preserve">6 weeks</w:t>
            </w:r>
          </w:p>
        </w:tc>
        <w:tc>
          <w:tcPr/>
          <w:p>
            <w:pPr>
              <w:pStyle w:val="Compact"/>
              <w:jc w:val="left"/>
            </w:pPr>
            <w:r>
              <w:t xml:space="preserve">$240,000.00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Market Analysis &amp; Competitive Intelligence for Mexico Mexico City Sector</w:t>
            </w:r>
          </w:p>
        </w:tc>
        <w:tc>
          <w:tcPr/>
          <w:p>
            <w:pPr>
              <w:pStyle w:val="Compact"/>
              <w:jc w:val="left"/>
            </w:pPr>
            <w:r>
              <w:t xml:space="preserve">Market Intelligence Dossier</w:t>
            </w:r>
          </w:p>
        </w:tc>
        <w:tc>
          <w:tcPr/>
          <w:p>
            <w:pPr>
              <w:pStyle w:val="Compact"/>
              <w:jc w:val="left"/>
            </w:pPr>
            <w:r>
              <w:t xml:space="preserve">3 weeks</w:t>
            </w:r>
          </w:p>
        </w:tc>
        <w:tc>
          <w:tcPr/>
          <w:p>
            <w:pPr>
              <w:pStyle w:val="Compact"/>
              <w:jc w:val="left"/>
            </w:pPr>
            <w:r>
              <w:t xml:space="preserve">$120,000.00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Financial Modeling, Budgeting &amp; Cash Flow Projections</w:t>
            </w:r>
          </w:p>
        </w:tc>
        <w:tc>
          <w:tcPr/>
          <w:p>
            <w:pPr>
              <w:pStyle w:val="Compact"/>
              <w:jc w:val="left"/>
            </w:pPr>
            <w:r>
              <w:t xml:space="preserve">Financial Model &amp; 3-Year Forecast</w:t>
            </w:r>
          </w:p>
        </w:tc>
        <w:tc>
          <w:tcPr/>
          <w:p>
            <w:pPr>
              <w:pStyle w:val="Compact"/>
              <w:jc w:val="left"/>
            </w:pPr>
            <w:r>
              <w:t xml:space="preserve">4 weeks</w:t>
            </w:r>
          </w:p>
        </w:tc>
        <w:tc>
          <w:tcPr/>
          <w:p>
            <w:pPr>
              <w:pStyle w:val="Compact"/>
              <w:jc w:val="left"/>
            </w:pPr>
            <w:r>
              <w:t xml:space="preserve">$165,000.00</w:t>
            </w:r>
          </w:p>
        </w:tc>
        <w:tc>
          <w:tcPr/>
          <w:p>
            <w:pPr>
              <w:pStyle w:val="Compact"/>
              <w:jc w:val="left"/>
            </w:pPr>
            <w:r>
              <w:t xml:space="preserve">$26,400.00</w:t>
            </w:r>
          </w:p>
        </w:tc>
      </w:tr>
      <w:tr>
        <w:tc>
          <w:tcPr/>
          <w:p>
            <w:pPr>
              <w:pStyle w:val="Compact"/>
              <w:jc w:val="left"/>
            </w:pPr>
            <w:r>
              <w:t xml:space="preserve">05</w:t>
            </w:r>
          </w:p>
        </w:tc>
        <w:tc>
          <w:tcPr/>
          <w:p>
            <w:pPr>
              <w:pStyle w:val="Compact"/>
              <w:jc w:val="left"/>
            </w:pPr>
            <w:r>
              <w:t xml:space="preserve">Regulatory Compliance Review (Mexican Federal &amp; Mexico Mexico City Local)</w:t>
            </w:r>
          </w:p>
        </w:tc>
        <w:tc>
          <w:tcPr/>
          <w:p>
            <w:pPr>
              <w:pStyle w:val="Compact"/>
              <w:jc w:val="left"/>
            </w:pPr>
            <w:r>
              <w:t xml:space="preserve">Compliance Audit Report</w:t>
            </w:r>
          </w:p>
        </w:tc>
        <w:tc>
          <w:tcPr/>
          <w:p>
            <w:pPr>
              <w:pStyle w:val="Compact"/>
              <w:jc w:val="left"/>
            </w:pPr>
            <w:r>
              <w:t xml:space="preserve">3 weeks</w:t>
            </w:r>
          </w:p>
        </w:tc>
        <w:tc>
          <w:tcPr/>
          <w:p>
            <w:pPr>
              <w:pStyle w:val="Compact"/>
              <w:jc w:val="left"/>
            </w:pPr>
            <w:r>
              <w:t xml:space="preserve">$95,000.00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Change Management &amp; Leadership Training Workshops (On-site, Mexico Mexico City)</w:t>
            </w:r>
          </w:p>
        </w:tc>
        <w:tc>
          <w:tcPr/>
          <w:p>
            <w:pPr>
              <w:pStyle w:val="Compact"/>
              <w:jc w:val="left"/>
            </w:pPr>
            <w:r>
              <w:t xml:space="preserve">Training Materials &amp; Session Records</w:t>
            </w:r>
          </w:p>
        </w:tc>
        <w:tc>
          <w:tcPr/>
          <w:p>
            <w:pPr>
              <w:pStyle w:val="Compact"/>
              <w:jc w:val="left"/>
            </w:pPr>
            <w:r>
              <w:t xml:space="preserve">2 weeks</w:t>
            </w:r>
          </w:p>
        </w:tc>
        <w:tc>
          <w:tcPr/>
          <w:p>
            <w:pPr>
              <w:pStyle w:val="Compact"/>
              <w:jc w:val="left"/>
            </w:pPr>
            <w:r>
              <w:t xml:space="preserve">$78,000.00</w:t>
            </w:r>
          </w:p>
        </w:tc>
        <w:tc>
          <w:tcPr/>
          <w:p>
            <w:pPr>
              <w:pStyle w:val="Compact"/>
              <w:jc w:val="left"/>
            </w:pPr>
            <w:r>
              <w:t xml:space="preserve">$12,480.00</w:t>
            </w:r>
          </w:p>
        </w:tc>
      </w:tr>
      <w:tr>
        <w:tc>
          <w:tcPr/>
          <w:p>
            <w:pPr>
              <w:pStyle w:val="Compact"/>
              <w:jc w:val="left"/>
            </w:pPr>
            <w:r>
              <w:t xml:space="preserve">07</w:t>
            </w:r>
          </w:p>
        </w:tc>
        <w:tc>
          <w:tcPr/>
          <w:p>
            <w:pPr>
              <w:pStyle w:val="Compact"/>
              <w:jc w:val="left"/>
            </w:pPr>
            <w:r>
              <w:t xml:space="preserve">Ongoing Advisory &amp; Quarterly Review Sessions (12 months)</w:t>
            </w:r>
          </w:p>
        </w:tc>
        <w:tc>
          <w:tcPr/>
          <w:p>
            <w:pPr>
              <w:pStyle w:val="Compact"/>
              <w:jc w:val="left"/>
            </w:pPr>
            <w:r>
              <w:t xml:space="preserve">Quarterly Reports &amp; Advisory Minutes</w:t>
            </w:r>
          </w:p>
        </w:tc>
        <w:tc>
          <w:tcPr/>
          <w:p>
            <w:pPr>
              <w:pStyle w:val="Compact"/>
              <w:jc w:val="left"/>
            </w:pPr>
            <w:r>
              <w:t xml:space="preserve">12 months</w:t>
            </w:r>
          </w:p>
        </w:tc>
        <w:tc>
          <w:tcPr/>
          <w:p>
            <w:pPr>
              <w:pStyle w:val="Compact"/>
              <w:jc w:val="left"/>
            </w:pPr>
            <w:r>
              <w:t xml:space="preserve">$210,000.00</w:t>
            </w:r>
          </w:p>
        </w:tc>
        <w:tc>
          <w:tcPr/>
          <w:p>
            <w:pPr>
              <w:pStyle w:val="Compact"/>
              <w:jc w:val="left"/>
            </w:pPr>
            <w:r>
              <w:t xml:space="preserve">$33,600.00</w:t>
            </w:r>
          </w:p>
        </w:tc>
      </w:tr>
      <w:tr>
        <w:tc>
          <w:tcPr>
            <w:gridSpan w:val="4"/>
          </w:tcPr>
          <w:p>
            <w:pPr>
              <w:pStyle w:val="Compact"/>
              <w:jc w:val="left"/>
            </w:pPr>
            <w:r>
              <w:t xml:space="preserve">SUBTOTAL (Before Tax)</w:t>
            </w:r>
          </w:p>
        </w:tc>
        <w:tc>
          <w:tcPr/>
          <w:p>
            <w:pPr>
              <w:pStyle w:val="Compact"/>
              <w:jc w:val="left"/>
            </w:pPr>
            <w:r>
              <w:t xml:space="preserve">$1,093,000.00</w:t>
            </w:r>
          </w:p>
        </w:tc>
        <w:tc>
          <w:tcPr/>
          <w:p>
            <w:pPr>
              <w:pStyle w:val="Compact"/>
              <w:jc w:val="left"/>
            </w:pPr>
            <w:r>
              <w:t xml:space="preserve">$174,880.00</w:t>
            </w:r>
          </w:p>
        </w:tc>
      </w:tr>
      <w:tr>
        <w:tc>
          <w:tcPr>
            <w:gridSpan w:val="4"/>
          </w:tcPr>
          <w:p>
            <w:pPr>
              <w:pStyle w:val="Compact"/>
              <w:jc w:val="left"/>
            </w:pPr>
            <w:r>
              <w:t xml:space="preserve">TOTAL AMOUNT DUE (Including 16% IVA)</w:t>
            </w:r>
          </w:p>
        </w:tc>
        <w:tc>
          <w:tcPr>
            <w:gridSpan w:val="2"/>
          </w:tcPr>
          <w:p>
            <w:pPr>
              <w:pStyle w:val="Compact"/>
              <w:jc w:val="right"/>
            </w:pPr>
            <w:r>
              <w:t xml:space="preserve">$1,267,880.00 MXN</w:t>
            </w:r>
          </w:p>
        </w:tc>
      </w:tr>
    </w:tbl>
    <w:bookmarkEnd w:id="22"/>
    <w:bookmarkStart w:id="23" w:name="payment-schedule"/>
    <w:p>
      <w:pPr>
        <w:pStyle w:val="Heading2"/>
      </w:pPr>
      <w:r>
        <w:t xml:space="preserve">3. Payment Schedule</w:t>
      </w:r>
    </w:p>
    <w:p>
      <w:pPr>
        <w:pStyle w:val="FirstParagraph"/>
      </w:pPr>
      <w:r>
        <w:t xml:space="preserve">As outlined in this Quotation Estimate, the total fee for the Business Consultant engagement shall be paid according to the following milestone-based schedule. All payments are to be made via bank transfer to the account of Estrategia Corporativa MX, S.A. de C.V., domiciled in Mexico Mexico City. Late payments shall accrue interest at the rate established by the Banco de México (Banxico) for overdue commercial obligations.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(MXN)</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25%</w:t>
            </w:r>
          </w:p>
        </w:tc>
        <w:tc>
          <w:tcPr/>
          <w:p>
            <w:pPr>
              <w:pStyle w:val="Compact"/>
              <w:jc w:val="left"/>
            </w:pPr>
            <w:r>
              <w:t xml:space="preserve">$316,970.00</w:t>
            </w:r>
          </w:p>
        </w:tc>
        <w:tc>
          <w:tcPr/>
          <w:p>
            <w:pPr>
              <w:pStyle w:val="Compact"/>
              <w:jc w:val="left"/>
            </w:pPr>
            <w:r>
              <w:t xml:space="preserve">Within 5 business days of signing</w:t>
            </w:r>
          </w:p>
        </w:tc>
      </w:tr>
      <w:tr>
        <w:tc>
          <w:tcPr/>
          <w:p>
            <w:pPr>
              <w:pStyle w:val="Compact"/>
              <w:jc w:val="left"/>
            </w:pPr>
            <w:r>
              <w:t xml:space="preserve">Completion of Phases 1 &amp; 2 (Strategy + Operations)</w:t>
            </w:r>
          </w:p>
        </w:tc>
        <w:tc>
          <w:tcPr/>
          <w:p>
            <w:pPr>
              <w:pStyle w:val="Compact"/>
              <w:jc w:val="left"/>
            </w:pPr>
            <w:r>
              <w:t xml:space="preserve">30%</w:t>
            </w:r>
          </w:p>
        </w:tc>
        <w:tc>
          <w:tcPr/>
          <w:p>
            <w:pPr>
              <w:pStyle w:val="Compact"/>
              <w:jc w:val="left"/>
            </w:pPr>
            <w:r>
              <w:t xml:space="preserve">$380,364.00</w:t>
            </w:r>
          </w:p>
        </w:tc>
        <w:tc>
          <w:tcPr/>
          <w:p>
            <w:pPr>
              <w:pStyle w:val="Compact"/>
              <w:jc w:val="left"/>
            </w:pPr>
            <w:r>
              <w:t xml:space="preserve">Upon delivery of Phase 2 deliverables</w:t>
            </w:r>
          </w:p>
        </w:tc>
      </w:tr>
      <w:tr>
        <w:tc>
          <w:tcPr/>
          <w:p>
            <w:pPr>
              <w:pStyle w:val="Compact"/>
              <w:jc w:val="left"/>
            </w:pPr>
            <w:r>
              <w:t xml:space="preserve">Completion of Phases 3, 4 &amp; 5 (Market, Financial, Compliance)</w:t>
            </w:r>
          </w:p>
        </w:tc>
        <w:tc>
          <w:tcPr/>
          <w:p>
            <w:pPr>
              <w:pStyle w:val="Compact"/>
              <w:jc w:val="left"/>
            </w:pPr>
            <w:r>
              <w:t xml:space="preserve">25%</w:t>
            </w:r>
          </w:p>
        </w:tc>
        <w:tc>
          <w:tcPr/>
          <w:p>
            <w:pPr>
              <w:pStyle w:val="Compact"/>
              <w:jc w:val="left"/>
            </w:pPr>
            <w:r>
              <w:t xml:space="preserve">$316,970.00</w:t>
            </w:r>
          </w:p>
        </w:tc>
        <w:tc>
          <w:tcPr/>
          <w:p>
            <w:pPr>
              <w:pStyle w:val="Compact"/>
              <w:jc w:val="left"/>
            </w:pPr>
            <w:r>
              <w:t xml:space="preserve">Upon delivery of Phase 5 deliverables</w:t>
            </w:r>
          </w:p>
        </w:tc>
      </w:tr>
      <w:tr>
        <w:tc>
          <w:tcPr/>
          <w:p>
            <w:pPr>
              <w:pStyle w:val="Compact"/>
              <w:jc w:val="left"/>
            </w:pPr>
            <w:r>
              <w:t xml:space="preserve">Completion of Phase 6 &amp; Start of Advisory Period</w:t>
            </w:r>
          </w:p>
        </w:tc>
        <w:tc>
          <w:tcPr/>
          <w:p>
            <w:pPr>
              <w:pStyle w:val="Compact"/>
              <w:jc w:val="left"/>
            </w:pPr>
            <w:r>
              <w:t xml:space="preserve">10%</w:t>
            </w:r>
          </w:p>
        </w:tc>
        <w:tc>
          <w:tcPr/>
          <w:p>
            <w:pPr>
              <w:pStyle w:val="Compact"/>
              <w:jc w:val="left"/>
            </w:pPr>
            <w:r>
              <w:t xml:space="preserve">$126,788.00</w:t>
            </w:r>
          </w:p>
        </w:tc>
        <w:tc>
          <w:tcPr/>
          <w:p>
            <w:pPr>
              <w:pStyle w:val="Compact"/>
              <w:jc w:val="left"/>
            </w:pPr>
            <w:r>
              <w:t xml:space="preserve">Upon completion of training workshops</w:t>
            </w:r>
          </w:p>
        </w:tc>
      </w:tr>
      <w:tr>
        <w:tc>
          <w:tcPr/>
          <w:p>
            <w:pPr>
              <w:pStyle w:val="Compact"/>
              <w:jc w:val="left"/>
            </w:pPr>
            <w:r>
              <w:t xml:space="preserve">Quarterly Advisory Retainer (4 installments)</w:t>
            </w:r>
          </w:p>
        </w:tc>
        <w:tc>
          <w:tcPr/>
          <w:p>
            <w:pPr>
              <w:pStyle w:val="Compact"/>
              <w:jc w:val="left"/>
            </w:pPr>
            <w:r>
              <w:t xml:space="preserve">10%</w:t>
            </w:r>
          </w:p>
        </w:tc>
        <w:tc>
          <w:tcPr/>
          <w:p>
            <w:pPr>
              <w:pStyle w:val="Compact"/>
              <w:jc w:val="left"/>
            </w:pPr>
            <w:r>
              <w:t xml:space="preserve">$31,697.00 each</w:t>
            </w:r>
          </w:p>
        </w:tc>
        <w:tc>
          <w:tcPr/>
          <w:p>
            <w:pPr>
              <w:pStyle w:val="Compact"/>
              <w:jc w:val="left"/>
            </w:pPr>
            <w:r>
              <w:t xml:space="preserve">First business day of each quarter</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thirty (30) calendar days from the date of issue. After this period, the Business Consultant reserves the right to revise fees due to changes in market conditions, exchange rates, or operational costs within Mexico Mexico City.</w:t>
      </w:r>
    </w:p>
    <w:p>
      <w:pPr>
        <w:pStyle w:val="BodyText"/>
      </w:pPr>
      <w:r>
        <w:rPr>
          <w:bCs/>
          <w:b/>
        </w:rPr>
        <w:t xml:space="preserve">4.2 Confidentiality:</w:t>
      </w:r>
      <w:r>
        <w:t xml:space="preserve"> </w:t>
      </w:r>
      <w:r>
        <w:t xml:space="preserve">The Business Consultant shall maintain strict confidentiality over all proprietary information, trade secrets, and business data disclosed by the client during the engagement. This obligation survives the termination of the contract for a period of three (3) years, in compliance with the Mexican Federal Law on Protection of Personal Data Held by Private Parties (LFPDPPP).</w:t>
      </w:r>
    </w:p>
    <w:p>
      <w:pPr>
        <w:pStyle w:val="BodyText"/>
      </w:pPr>
      <w:r>
        <w:rPr>
          <w:bCs/>
          <w:b/>
        </w:rPr>
        <w:t xml:space="preserve">4.3 Intellectual Property:</w:t>
      </w:r>
      <w:r>
        <w:t xml:space="preserve"> </w:t>
      </w:r>
      <w:r>
        <w:t xml:space="preserve">All reports, models, strategies, and deliverables produced by the Business Consultant under this Quotation Estimate shall become the exclusive property of the client upon full payment of the corresponding milestone fee.</w:t>
      </w:r>
    </w:p>
    <w:p>
      <w:pPr>
        <w:pStyle w:val="BodyText"/>
      </w:pPr>
      <w:r>
        <w:rPr>
          <w:bCs/>
          <w:b/>
        </w:rPr>
        <w:t xml:space="preserve">4.4 Limitation of Liability:</w:t>
      </w:r>
      <w:r>
        <w:t xml:space="preserve"> </w:t>
      </w:r>
      <w:r>
        <w:t xml:space="preserve">The total liability of the Business Consultant under this Quotation Estimate shall not exceed the total fees paid by the client for the specific service in which the alleged breach occurred. The Business Consultant shall not be liable for indirect, consequential, or punitive damages arising from decisions made by the client based on the consultant's recommendations.</w:t>
      </w:r>
    </w:p>
    <w:p>
      <w:pPr>
        <w:pStyle w:val="BodyText"/>
      </w:pPr>
      <w:r>
        <w:rPr>
          <w:bCs/>
          <w:b/>
        </w:rPr>
        <w:t xml:space="preserve">4.5 Termination:</w:t>
      </w:r>
      <w:r>
        <w:t xml:space="preserve"> </w:t>
      </w:r>
      <w:r>
        <w:t xml:space="preserve">Either party may terminate the engagement with thirty (30) days written notice. In the event of early termination by the client, all fees for work completed up to the termination date, plus a 15% cancellation surcharge on the remaining contracted value, shall be due and payable within fifteen (15) business days.</w:t>
      </w:r>
    </w:p>
    <w:p>
      <w:pPr>
        <w:pStyle w:val="BodyText"/>
      </w:pPr>
      <w:r>
        <w:rPr>
          <w:bCs/>
          <w:b/>
        </w:rPr>
        <w:t xml:space="preserve">4.6 Governing Law:</w:t>
      </w:r>
      <w:r>
        <w:t xml:space="preserve"> </w:t>
      </w:r>
      <w:r>
        <w:t xml:space="preserve">This Quotation Estimate and any resulting contract shall be governed by and construed in accordance with the commercial laws of the United Mexican States, with exclusive jurisdiction vested in the commercial courts of Mexico Mexico City, Federal District. Any disputes shall first be subject to mediation before the Centro de Arbitraje y Conciliación (CEAC) in Mexico Mexico City.</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natural disasters, government actions, pandemics, or civil unrest affecting operations in Mexico Mexico City.</w:t>
      </w:r>
    </w:p>
    <w:p>
      <w:pPr>
        <w:pStyle w:val="BodyText"/>
      </w:pPr>
      <w:r>
        <w:rPr>
          <w:bCs/>
          <w:b/>
        </w:rPr>
        <w:t xml:space="preserve">4.8 Taxes:</w:t>
      </w:r>
      <w:r>
        <w:t xml:space="preserve"> </w:t>
      </w:r>
      <w:r>
        <w:t xml:space="preserve">All amounts stated in this Quotation Estimate are in Mexican Pesos (MXN) and include the applicable 16% Value Added Tax (IVA) as mandated by the Mexican Federal Tax Code (Código Fiscal de la Federación). The client is responsible for any withholding taxes applicable under Mexican tax law.</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all necessary financial records, operational data, and personnel interviews required for the Business Consultant to perform the engagement. The following items are excluded from the scope and would be subject to a separate Quotation Estimate if required: legal representation before Mexican courts or regulatory bodies, accounting or tax filing services, IT infrastructure procurement, and recruitment or headhunting services. Travel expenses for the Business Consultant beyond the Mexico Mexico City metropolitan area (including but not limited to visits to Monterrey, Guadalajara, or Cancún) will be billed at cost with a 10% administrative surcharge.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Estrategia Corporativa MX, S.A. de C.V. to proceed with the Business Consultant engagement as described herein. This signature constitutes a binding acceptance of all terms, conditions, fees, and timelines set forth in this document. The Business Consultant will issue a formal Service Agreement within five (5) business days of receiving the signed Quotation Estimate.</w:t>
      </w:r>
    </w:p>
    <w:p>
      <w:pPr>
        <w:pStyle w:val="BodyText"/>
      </w:pPr>
      <w:r>
        <w:rPr>
          <w:bCs/>
          <w:b/>
        </w:rPr>
        <w:t xml:space="preserve">For Estrategia Corporativa MX, S.A. de C.V.</w:t>
      </w:r>
      <w:r>
        <w:br/>
      </w:r>
      <w:r>
        <w:t xml:space="preserve">Business Consultant – Lead Consultant</w:t>
      </w:r>
      <w:r>
        <w:br/>
      </w:r>
      <w:r>
        <w:t xml:space="preserve">Name: Lic. Alejandro Ramírez Torres</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named above and is not transferable. All services are to be performed in Mexico Mexico City unless otherwise agreed in writing. Estrategia Corporativa MX, S.A. de C.V. | RFC: ECM250615AB1 | Mexico Mexico City, CDMX, México.</w:t>
      </w:r>
    </w:p>
    <w:p>
      <w:pPr>
        <w:pStyle w:val="BodyText"/>
      </w:pPr>
      <w:r>
        <w:t xml:space="preserve">Page 1 of 1 | Document generated on June 15,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Mexico Mexico City</dc:title>
  <dc:creator/>
  <dc:language>en</dc:language>
  <cp:keywords/>
  <dcterms:created xsi:type="dcterms:W3CDTF">2026-10-10T07:08:22Z</dcterms:created>
  <dcterms:modified xsi:type="dcterms:W3CDTF">2026-10-10T07:08:22Z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